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9B0" w:rsidRPr="001D3B97" w:rsidRDefault="00B129B0" w:rsidP="00B129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3B97">
        <w:rPr>
          <w:rFonts w:ascii="Times New Roman" w:hAnsi="Times New Roman" w:cs="Times New Roman"/>
          <w:b/>
          <w:sz w:val="28"/>
          <w:szCs w:val="28"/>
        </w:rPr>
        <w:t>ДОКЛАД</w:t>
      </w:r>
    </w:p>
    <w:p w:rsidR="00B129B0" w:rsidRPr="001D3B97" w:rsidRDefault="00B129B0" w:rsidP="00B129B0">
      <w:pPr>
        <w:jc w:val="center"/>
        <w:rPr>
          <w:rFonts w:ascii="Times New Roman" w:hAnsi="Times New Roman" w:cs="Times New Roman"/>
          <w:sz w:val="28"/>
          <w:szCs w:val="28"/>
        </w:rPr>
      </w:pPr>
      <w:r w:rsidRPr="001D3B97">
        <w:rPr>
          <w:rFonts w:ascii="Times New Roman" w:hAnsi="Times New Roman" w:cs="Times New Roman"/>
          <w:sz w:val="28"/>
          <w:szCs w:val="28"/>
        </w:rPr>
        <w:t>о результатах научного исследования</w:t>
      </w:r>
    </w:p>
    <w:p w:rsidR="00B129B0" w:rsidRPr="001D3B97" w:rsidRDefault="00B129B0" w:rsidP="00B129B0">
      <w:pPr>
        <w:jc w:val="center"/>
        <w:rPr>
          <w:rFonts w:ascii="Times New Roman" w:hAnsi="Times New Roman" w:cs="Times New Roman"/>
          <w:sz w:val="28"/>
          <w:szCs w:val="28"/>
        </w:rPr>
      </w:pPr>
      <w:r w:rsidRPr="001D3B97">
        <w:rPr>
          <w:rFonts w:ascii="Times New Roman" w:hAnsi="Times New Roman" w:cs="Times New Roman"/>
          <w:sz w:val="28"/>
          <w:szCs w:val="28"/>
        </w:rPr>
        <w:t>«Уче</w:t>
      </w:r>
      <w:r w:rsidR="003A3B38">
        <w:rPr>
          <w:rFonts w:ascii="Times New Roman" w:hAnsi="Times New Roman" w:cs="Times New Roman"/>
          <w:sz w:val="28"/>
          <w:szCs w:val="28"/>
        </w:rPr>
        <w:t>т</w:t>
      </w:r>
      <w:r w:rsidRPr="001D3B97">
        <w:rPr>
          <w:rFonts w:ascii="Times New Roman" w:hAnsi="Times New Roman" w:cs="Times New Roman"/>
          <w:sz w:val="28"/>
          <w:szCs w:val="28"/>
        </w:rPr>
        <w:t xml:space="preserve"> и аудит целевых средств некоммерческой организации»</w:t>
      </w:r>
    </w:p>
    <w:p w:rsidR="00B129B0" w:rsidRPr="001D3B97" w:rsidRDefault="00B129B0" w:rsidP="00B129B0">
      <w:pPr>
        <w:jc w:val="right"/>
        <w:rPr>
          <w:rFonts w:ascii="Times New Roman" w:hAnsi="Times New Roman" w:cs="Times New Roman"/>
          <w:sz w:val="28"/>
          <w:szCs w:val="28"/>
        </w:rPr>
      </w:pPr>
      <w:r w:rsidRPr="001D3B97">
        <w:rPr>
          <w:rFonts w:ascii="Times New Roman" w:hAnsi="Times New Roman" w:cs="Times New Roman"/>
          <w:sz w:val="28"/>
          <w:szCs w:val="28"/>
        </w:rPr>
        <w:t>аспиранта</w:t>
      </w:r>
    </w:p>
    <w:p w:rsidR="00B129B0" w:rsidRPr="001D3B97" w:rsidRDefault="00B129B0" w:rsidP="00B129B0">
      <w:pPr>
        <w:jc w:val="right"/>
        <w:rPr>
          <w:rFonts w:ascii="Times New Roman" w:hAnsi="Times New Roman" w:cs="Times New Roman"/>
          <w:sz w:val="28"/>
          <w:szCs w:val="28"/>
        </w:rPr>
      </w:pPr>
      <w:r w:rsidRPr="001D3B97">
        <w:rPr>
          <w:rFonts w:ascii="Times New Roman" w:hAnsi="Times New Roman" w:cs="Times New Roman"/>
          <w:sz w:val="28"/>
          <w:szCs w:val="28"/>
        </w:rPr>
        <w:t>Калугина М.В.</w:t>
      </w:r>
    </w:p>
    <w:p w:rsidR="00B129B0" w:rsidRPr="001D3B97" w:rsidRDefault="00B129B0">
      <w:pPr>
        <w:rPr>
          <w:rFonts w:ascii="Times New Roman" w:hAnsi="Times New Roman" w:cs="Times New Roman"/>
        </w:rPr>
      </w:pPr>
    </w:p>
    <w:p w:rsidR="00B129B0" w:rsidRPr="001D3B97" w:rsidRDefault="00B129B0" w:rsidP="0082380A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1D3B97">
        <w:rPr>
          <w:rFonts w:ascii="Times New Roman" w:eastAsia="Calibri" w:hAnsi="Times New Roman" w:cs="Times New Roman"/>
          <w:sz w:val="26"/>
          <w:szCs w:val="26"/>
        </w:rPr>
        <w:t xml:space="preserve">В </w:t>
      </w:r>
      <w:r w:rsidRPr="001D3B97">
        <w:rPr>
          <w:rFonts w:ascii="Times New Roman" w:eastAsia="Calibri" w:hAnsi="Times New Roman" w:cs="Times New Roman"/>
          <w:color w:val="00000A"/>
          <w:sz w:val="28"/>
          <w:szCs w:val="28"/>
        </w:rPr>
        <w:t>2006</w:t>
      </w:r>
      <w:r w:rsidRPr="001D3B97">
        <w:rPr>
          <w:rFonts w:ascii="Times New Roman" w:eastAsia="Calibri" w:hAnsi="Times New Roman" w:cs="Times New Roman"/>
          <w:sz w:val="28"/>
          <w:szCs w:val="28"/>
        </w:rPr>
        <w:t xml:space="preserve"> году </w:t>
      </w:r>
      <w:r w:rsidRPr="001D3B97">
        <w:rPr>
          <w:rFonts w:ascii="Times New Roman" w:eastAsia="Calibri" w:hAnsi="Times New Roman" w:cs="Times New Roman"/>
          <w:color w:val="00000A"/>
          <w:sz w:val="28"/>
          <w:szCs w:val="28"/>
        </w:rPr>
        <w:t>Азиатско-тихоокеанское филантропическое сообщество</w:t>
      </w:r>
      <w:r w:rsidR="003A3B38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</w:t>
      </w:r>
      <w:r w:rsidRPr="001D3B97">
        <w:rPr>
          <w:rFonts w:ascii="Times New Roman" w:eastAsia="Calibri" w:hAnsi="Times New Roman" w:cs="Times New Roman"/>
          <w:sz w:val="28"/>
          <w:szCs w:val="28"/>
        </w:rPr>
        <w:t>опубликовал</w:t>
      </w:r>
      <w:r w:rsidR="003A3B38">
        <w:rPr>
          <w:rFonts w:ascii="Times New Roman" w:eastAsia="Calibri" w:hAnsi="Times New Roman" w:cs="Times New Roman"/>
          <w:sz w:val="28"/>
          <w:szCs w:val="28"/>
        </w:rPr>
        <w:t>о</w:t>
      </w:r>
      <w:r w:rsidRPr="001D3B97">
        <w:rPr>
          <w:rFonts w:ascii="Times New Roman" w:eastAsia="Calibri" w:hAnsi="Times New Roman" w:cs="Times New Roman"/>
          <w:sz w:val="28"/>
          <w:szCs w:val="28"/>
        </w:rPr>
        <w:t xml:space="preserve"> исследование «</w:t>
      </w:r>
      <w:r w:rsidRPr="001D3B97">
        <w:rPr>
          <w:rFonts w:ascii="Times New Roman" w:eastAsia="Calibri" w:hAnsi="Times New Roman" w:cs="Times New Roman"/>
          <w:color w:val="00000A"/>
          <w:sz w:val="28"/>
          <w:szCs w:val="28"/>
        </w:rPr>
        <w:t>Бухгалтерский учет в некоммерческом секторе:</w:t>
      </w:r>
      <w:r w:rsidR="003A3B38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</w:t>
      </w:r>
      <w:r w:rsidRPr="001D3B97">
        <w:rPr>
          <w:rFonts w:ascii="Times New Roman" w:eastAsia="Calibri" w:hAnsi="Times New Roman" w:cs="Times New Roman"/>
          <w:color w:val="00000A"/>
          <w:sz w:val="28"/>
          <w:szCs w:val="28"/>
        </w:rPr>
        <w:t>проблемы и рекомендации</w:t>
      </w:r>
      <w:r w:rsidRPr="001D3B97">
        <w:rPr>
          <w:rFonts w:ascii="Times New Roman" w:eastAsia="Calibri" w:hAnsi="Times New Roman" w:cs="Times New Roman"/>
          <w:sz w:val="28"/>
          <w:szCs w:val="28"/>
        </w:rPr>
        <w:t>»</w:t>
      </w:r>
      <w:r w:rsidRPr="001D3B97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, в котором указывалось, что </w:t>
      </w:r>
      <w:r w:rsidR="00000136" w:rsidRPr="00A5263F">
        <w:rPr>
          <w:rFonts w:ascii="Times New Roman" w:eastAsia="Calibri" w:hAnsi="Times New Roman" w:cs="Times New Roman"/>
          <w:i/>
          <w:color w:val="00000A"/>
          <w:sz w:val="24"/>
          <w:szCs w:val="24"/>
        </w:rPr>
        <w:t>в настоящее время, исчерпывающая директива по проблемам отчетности, присущих НКО, только формируется на международном уровне. Некоторые официальные заявления комитетов по стандартизации, контролирующие НКО, были приняты в США и</w:t>
      </w:r>
      <w:r w:rsidR="003A3B38">
        <w:rPr>
          <w:rFonts w:ascii="Times New Roman" w:eastAsia="Calibri" w:hAnsi="Times New Roman" w:cs="Times New Roman"/>
          <w:i/>
          <w:color w:val="00000A"/>
          <w:sz w:val="24"/>
          <w:szCs w:val="24"/>
        </w:rPr>
        <w:t>,</w:t>
      </w:r>
      <w:r w:rsidR="00000136" w:rsidRPr="00A5263F">
        <w:rPr>
          <w:rFonts w:ascii="Times New Roman" w:eastAsia="Calibri" w:hAnsi="Times New Roman" w:cs="Times New Roman"/>
          <w:i/>
          <w:color w:val="00000A"/>
          <w:sz w:val="24"/>
          <w:szCs w:val="24"/>
        </w:rPr>
        <w:t xml:space="preserve"> недавно</w:t>
      </w:r>
      <w:r w:rsidR="003A3B38">
        <w:rPr>
          <w:rFonts w:ascii="Times New Roman" w:eastAsia="Calibri" w:hAnsi="Times New Roman" w:cs="Times New Roman"/>
          <w:i/>
          <w:color w:val="00000A"/>
          <w:sz w:val="24"/>
          <w:szCs w:val="24"/>
        </w:rPr>
        <w:t>,</w:t>
      </w:r>
      <w:r w:rsidR="00000136" w:rsidRPr="00A5263F">
        <w:rPr>
          <w:rFonts w:ascii="Times New Roman" w:eastAsia="Calibri" w:hAnsi="Times New Roman" w:cs="Times New Roman"/>
          <w:i/>
          <w:color w:val="00000A"/>
          <w:sz w:val="24"/>
          <w:szCs w:val="24"/>
        </w:rPr>
        <w:t xml:space="preserve"> в Китае. В Индии Комитетом по практическому учету и аудита НКО были выпущены ICAI. В Филиппинах вновь пересмотрены стандарты финансовой отчетности для НКО Советом по стандартизации финансовой отчетности. Многие другие страны также де-факто применяют стандарты НКО или действующие законы соответствующих стран по НКО, которые могут или не могут быть полностью использова</w:t>
      </w:r>
      <w:r w:rsidR="00FA6BD4" w:rsidRPr="00A5263F">
        <w:rPr>
          <w:rFonts w:ascii="Times New Roman" w:eastAsia="Calibri" w:hAnsi="Times New Roman" w:cs="Times New Roman"/>
          <w:i/>
          <w:color w:val="00000A"/>
          <w:sz w:val="24"/>
          <w:szCs w:val="24"/>
        </w:rPr>
        <w:t>ны</w:t>
      </w:r>
      <w:r w:rsidR="00000136" w:rsidRPr="00A5263F">
        <w:rPr>
          <w:rFonts w:ascii="Times New Roman" w:eastAsia="Calibri" w:hAnsi="Times New Roman" w:cs="Times New Roman"/>
          <w:i/>
          <w:color w:val="00000A"/>
          <w:sz w:val="24"/>
          <w:szCs w:val="24"/>
        </w:rPr>
        <w:t xml:space="preserve"> во всех типах организаций. </w:t>
      </w:r>
      <w:proofErr w:type="gramStart"/>
      <w:r w:rsidR="00000136" w:rsidRPr="00A5263F">
        <w:rPr>
          <w:rFonts w:ascii="Times New Roman" w:eastAsia="Calibri" w:hAnsi="Times New Roman" w:cs="Times New Roman"/>
          <w:i/>
          <w:color w:val="00000A"/>
          <w:sz w:val="24"/>
          <w:szCs w:val="24"/>
        </w:rPr>
        <w:t xml:space="preserve">Хотя все формы отчетности основаны на некоторых основных принципах, интегрирующих специфики и особенности НКО, общественности в практике учета жизненно важна </w:t>
      </w:r>
      <w:r w:rsidR="00FA6BD4" w:rsidRPr="00A5263F">
        <w:rPr>
          <w:rFonts w:ascii="Times New Roman" w:eastAsia="Calibri" w:hAnsi="Times New Roman" w:cs="Times New Roman"/>
          <w:i/>
          <w:color w:val="00000A"/>
          <w:sz w:val="24"/>
          <w:szCs w:val="24"/>
        </w:rPr>
        <w:t>[</w:t>
      </w:r>
      <w:r w:rsidR="00000136" w:rsidRPr="00A5263F">
        <w:rPr>
          <w:rFonts w:ascii="Times New Roman" w:eastAsia="Calibri" w:hAnsi="Times New Roman" w:cs="Times New Roman"/>
          <w:i/>
          <w:color w:val="00000A"/>
          <w:sz w:val="24"/>
          <w:szCs w:val="24"/>
        </w:rPr>
        <w:t>как национальная, так и</w:t>
      </w:r>
      <w:r w:rsidR="00FA6BD4" w:rsidRPr="00A5263F">
        <w:rPr>
          <w:rFonts w:ascii="Times New Roman" w:eastAsia="Calibri" w:hAnsi="Times New Roman" w:cs="Times New Roman"/>
          <w:i/>
          <w:color w:val="00000A"/>
          <w:sz w:val="24"/>
          <w:szCs w:val="24"/>
        </w:rPr>
        <w:t>]</w:t>
      </w:r>
      <w:r w:rsidR="003A3B38">
        <w:rPr>
          <w:rFonts w:ascii="Times New Roman" w:eastAsia="Calibri" w:hAnsi="Times New Roman" w:cs="Times New Roman"/>
          <w:i/>
          <w:color w:val="00000A"/>
          <w:sz w:val="24"/>
          <w:szCs w:val="24"/>
        </w:rPr>
        <w:t xml:space="preserve"> </w:t>
      </w:r>
      <w:r w:rsidR="00000136" w:rsidRPr="00A5263F">
        <w:rPr>
          <w:rFonts w:ascii="Times New Roman" w:eastAsia="Calibri" w:hAnsi="Times New Roman" w:cs="Times New Roman"/>
          <w:i/>
          <w:color w:val="00000A"/>
          <w:sz w:val="24"/>
          <w:szCs w:val="24"/>
        </w:rPr>
        <w:t>международная информация и анализ финансовой отчетности по всему сектору</w:t>
      </w:r>
      <w:r w:rsidR="0005618F">
        <w:rPr>
          <w:rStyle w:val="a4"/>
          <w:rFonts w:ascii="Times New Roman" w:eastAsia="Calibri" w:hAnsi="Times New Roman" w:cs="Times New Roman"/>
          <w:i/>
          <w:color w:val="00000A"/>
          <w:sz w:val="24"/>
          <w:szCs w:val="24"/>
        </w:rPr>
        <w:footnoteReference w:id="2"/>
      </w:r>
      <w:r w:rsidR="00000136" w:rsidRPr="00A5263F">
        <w:rPr>
          <w:rFonts w:ascii="Times New Roman" w:eastAsia="Calibri" w:hAnsi="Times New Roman" w:cs="Times New Roman"/>
          <w:i/>
          <w:color w:val="00000A"/>
          <w:sz w:val="24"/>
          <w:szCs w:val="24"/>
        </w:rPr>
        <w:t>.</w:t>
      </w:r>
      <w:r w:rsidR="003A3B38">
        <w:rPr>
          <w:rFonts w:ascii="Times New Roman" w:eastAsia="Calibri" w:hAnsi="Times New Roman" w:cs="Times New Roman"/>
          <w:i/>
          <w:color w:val="00000A"/>
          <w:sz w:val="24"/>
          <w:szCs w:val="24"/>
        </w:rPr>
        <w:t xml:space="preserve"> </w:t>
      </w:r>
      <w:r w:rsidR="00000136" w:rsidRPr="001D3B97">
        <w:rPr>
          <w:rFonts w:ascii="Times New Roman" w:eastAsia="Calibri" w:hAnsi="Times New Roman" w:cs="Times New Roman"/>
          <w:color w:val="00000A"/>
          <w:sz w:val="28"/>
          <w:szCs w:val="28"/>
        </w:rPr>
        <w:t>Сегодня в России рекомендации по учету</w:t>
      </w:r>
      <w:r w:rsidR="00FA6BD4" w:rsidRPr="001D3B97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, </w:t>
      </w:r>
      <w:r w:rsidR="00000136" w:rsidRPr="001D3B97">
        <w:rPr>
          <w:rFonts w:ascii="Times New Roman" w:eastAsia="Calibri" w:hAnsi="Times New Roman" w:cs="Times New Roman"/>
          <w:color w:val="00000A"/>
          <w:sz w:val="28"/>
          <w:szCs w:val="28"/>
        </w:rPr>
        <w:t>анализу финансовой отчетности, а так же аудиту НКО</w:t>
      </w:r>
      <w:r w:rsidR="003A3B38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 — </w:t>
      </w:r>
      <w:r w:rsidR="00000136" w:rsidRPr="001D3B97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это набор </w:t>
      </w:r>
      <w:r w:rsidR="00FA6BD4" w:rsidRPr="001D3B97">
        <w:rPr>
          <w:rFonts w:ascii="Times New Roman" w:eastAsia="Calibri" w:hAnsi="Times New Roman" w:cs="Times New Roman"/>
          <w:color w:val="00000A"/>
          <w:sz w:val="28"/>
          <w:szCs w:val="28"/>
        </w:rPr>
        <w:t>фрагментарных</w:t>
      </w:r>
      <w:r w:rsidR="00000136" w:rsidRPr="001D3B97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документов, выхватывающих и освещающих отдельные аспекты</w:t>
      </w:r>
      <w:r w:rsidR="00FA6BD4" w:rsidRPr="001D3B97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некоммерческой деятельности.</w:t>
      </w:r>
      <w:proofErr w:type="gramEnd"/>
      <w:r w:rsidR="00FA6BD4" w:rsidRPr="001D3B97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В поиске определенного решения этой проблемы считаем важным </w:t>
      </w:r>
      <w:proofErr w:type="gramStart"/>
      <w:r w:rsidR="00FA6BD4" w:rsidRPr="001D3B97">
        <w:rPr>
          <w:rFonts w:ascii="Times New Roman" w:eastAsia="Calibri" w:hAnsi="Times New Roman" w:cs="Times New Roman"/>
          <w:color w:val="00000A"/>
          <w:sz w:val="28"/>
          <w:szCs w:val="28"/>
        </w:rPr>
        <w:t>рассмотреть</w:t>
      </w:r>
      <w:proofErr w:type="gramEnd"/>
      <w:r w:rsidR="00FA6BD4" w:rsidRPr="001D3B97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следующие вопросы:</w:t>
      </w:r>
    </w:p>
    <w:p w:rsidR="003A3B38" w:rsidRDefault="00FA6BD4" w:rsidP="003A3B38">
      <w:pPr>
        <w:pStyle w:val="a7"/>
        <w:numPr>
          <w:ilvl w:val="0"/>
          <w:numId w:val="6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3A3B38">
        <w:rPr>
          <w:rFonts w:ascii="Times New Roman" w:eastAsia="Calibri" w:hAnsi="Times New Roman" w:cs="Times New Roman"/>
          <w:color w:val="00000A"/>
          <w:sz w:val="28"/>
          <w:szCs w:val="28"/>
        </w:rPr>
        <w:t>какова сегодняшняя архитектура некоммерческого сектора России?</w:t>
      </w:r>
    </w:p>
    <w:p w:rsidR="00FA6BD4" w:rsidRPr="003A3B38" w:rsidRDefault="00FA6BD4" w:rsidP="003A3B38">
      <w:pPr>
        <w:pStyle w:val="a7"/>
        <w:numPr>
          <w:ilvl w:val="0"/>
          <w:numId w:val="6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3A3B38">
        <w:rPr>
          <w:rFonts w:ascii="Times New Roman" w:eastAsia="Calibri" w:hAnsi="Times New Roman" w:cs="Times New Roman"/>
          <w:color w:val="00000A"/>
          <w:sz w:val="28"/>
          <w:szCs w:val="28"/>
        </w:rPr>
        <w:t>насколько независима отчетность НКО от влияния коммерческого и бюджетного сектора?</w:t>
      </w:r>
    </w:p>
    <w:p w:rsidR="00FA6BD4" w:rsidRPr="003A3B38" w:rsidRDefault="00FA6BD4" w:rsidP="003A3B38">
      <w:pPr>
        <w:pStyle w:val="a7"/>
        <w:numPr>
          <w:ilvl w:val="0"/>
          <w:numId w:val="6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3A3B38">
        <w:rPr>
          <w:rFonts w:ascii="Times New Roman" w:eastAsia="Calibri" w:hAnsi="Times New Roman" w:cs="Times New Roman"/>
          <w:color w:val="00000A"/>
          <w:sz w:val="28"/>
          <w:szCs w:val="28"/>
        </w:rPr>
        <w:t>каковы интересы пользователей в отчетности НКО?</w:t>
      </w:r>
    </w:p>
    <w:p w:rsidR="00FA6BD4" w:rsidRPr="003A3B38" w:rsidRDefault="006A6BE6" w:rsidP="003A3B38">
      <w:pPr>
        <w:pStyle w:val="a7"/>
        <w:numPr>
          <w:ilvl w:val="0"/>
          <w:numId w:val="6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3A3B38">
        <w:rPr>
          <w:rFonts w:ascii="Times New Roman" w:eastAsia="Calibri" w:hAnsi="Times New Roman" w:cs="Times New Roman"/>
          <w:color w:val="00000A"/>
          <w:sz w:val="28"/>
          <w:szCs w:val="28"/>
        </w:rPr>
        <w:lastRenderedPageBreak/>
        <w:t>какая структура отчетности в наибольшей степени отвечает запросам общества к отчетности НКО?</w:t>
      </w:r>
    </w:p>
    <w:p w:rsidR="006A6BE6" w:rsidRPr="001D3B97" w:rsidRDefault="00D109EF" w:rsidP="0082380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1D3B97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Чтобы построить </w:t>
      </w:r>
      <w:r w:rsidR="0082380A">
        <w:rPr>
          <w:rFonts w:ascii="Times New Roman" w:eastAsia="Calibri" w:hAnsi="Times New Roman" w:cs="Times New Roman"/>
          <w:color w:val="00000A"/>
          <w:sz w:val="28"/>
          <w:szCs w:val="28"/>
        </w:rPr>
        <w:t>к</w:t>
      </w:r>
      <w:r w:rsidRPr="001D3B97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лассификацию НКО, необходимо рассмотреть их институциональные различия. </w:t>
      </w:r>
    </w:p>
    <w:p w:rsidR="006A6BE6" w:rsidRPr="001D3B97" w:rsidRDefault="006A6BE6" w:rsidP="0082380A">
      <w:pPr>
        <w:spacing w:after="0" w:line="360" w:lineRule="auto"/>
        <w:ind w:firstLine="709"/>
        <w:jc w:val="both"/>
        <w:rPr>
          <w:rStyle w:val="EndnoteSymbol"/>
          <w:rFonts w:ascii="Times New Roman" w:hAnsi="Times New Roman" w:cs="Times New Roman"/>
          <w:kern w:val="28"/>
          <w:sz w:val="28"/>
          <w:szCs w:val="28"/>
        </w:rPr>
      </w:pPr>
      <w:r w:rsidRPr="001D3B97">
        <w:rPr>
          <w:rStyle w:val="EndnoteSymbol"/>
          <w:rFonts w:ascii="Times New Roman" w:hAnsi="Times New Roman" w:cs="Times New Roman"/>
          <w:kern w:val="28"/>
          <w:sz w:val="28"/>
          <w:szCs w:val="28"/>
        </w:rPr>
        <w:t xml:space="preserve">Вопрос о разделении экономики на сектора был поднят и нашел определенное решение в рамках институциональной теории. В настоящее время институциональный подход к пониманию экономики России выражен в классификаторе институциональных единиц по секторам экономики (КИЕС). Институциональные единицы образуют такие сектора экономики, как: нефинансовых корпораций, финансовых корпораций, государственного управления, домашнего хозяйства и НКО, обслуживающего домашние хозяйства. КИЕС разрабатывался для обеспечения полноты охвата всех институциональных единиц и обеспечение единого понимания границ каждого сектора. </w:t>
      </w:r>
      <w:r w:rsidR="00D109EF" w:rsidRPr="001D3B97">
        <w:rPr>
          <w:rStyle w:val="EndnoteSymbol"/>
          <w:rFonts w:ascii="Times New Roman" w:hAnsi="Times New Roman" w:cs="Times New Roman"/>
          <w:kern w:val="28"/>
          <w:sz w:val="28"/>
          <w:szCs w:val="28"/>
        </w:rPr>
        <w:t xml:space="preserve">Однако </w:t>
      </w:r>
      <w:r w:rsidRPr="001D3B97">
        <w:rPr>
          <w:rStyle w:val="EndnoteSymbol"/>
          <w:rFonts w:ascii="Times New Roman" w:hAnsi="Times New Roman" w:cs="Times New Roman"/>
          <w:kern w:val="28"/>
          <w:sz w:val="28"/>
          <w:szCs w:val="28"/>
        </w:rPr>
        <w:t xml:space="preserve">получены довольно странные результаты. </w:t>
      </w:r>
    </w:p>
    <w:p w:rsidR="00C33320" w:rsidRPr="00C33320" w:rsidRDefault="006A6BE6" w:rsidP="00C33320">
      <w:pPr>
        <w:spacing w:after="0" w:line="360" w:lineRule="auto"/>
        <w:ind w:firstLine="709"/>
        <w:jc w:val="both"/>
        <w:rPr>
          <w:rStyle w:val="EndnoteSymbol"/>
          <w:rFonts w:ascii="Times New Roman" w:hAnsi="Times New Roman" w:cs="Times New Roman"/>
          <w:i/>
          <w:kern w:val="28"/>
        </w:rPr>
      </w:pPr>
      <w:r w:rsidRPr="001D3B97">
        <w:rPr>
          <w:rStyle w:val="EndnoteSymbol"/>
          <w:rFonts w:ascii="Times New Roman" w:hAnsi="Times New Roman" w:cs="Times New Roman"/>
          <w:kern w:val="28"/>
          <w:sz w:val="28"/>
          <w:szCs w:val="28"/>
        </w:rPr>
        <w:t xml:space="preserve">Так НКО в этом классификаторе выступают не единой совокупностью, а включаются в </w:t>
      </w:r>
      <w:r w:rsidR="0082380A">
        <w:rPr>
          <w:rStyle w:val="EndnoteSymbol"/>
          <w:rFonts w:ascii="Times New Roman" w:hAnsi="Times New Roman" w:cs="Times New Roman"/>
          <w:kern w:val="28"/>
          <w:sz w:val="28"/>
          <w:szCs w:val="28"/>
        </w:rPr>
        <w:t>различные</w:t>
      </w:r>
      <w:r w:rsidRPr="001D3B97">
        <w:rPr>
          <w:rStyle w:val="EndnoteSymbol"/>
          <w:rFonts w:ascii="Times New Roman" w:hAnsi="Times New Roman" w:cs="Times New Roman"/>
          <w:kern w:val="28"/>
          <w:sz w:val="28"/>
          <w:szCs w:val="28"/>
        </w:rPr>
        <w:t xml:space="preserve"> сектора экономики, в зависимости от источников их финансирования. </w:t>
      </w:r>
      <w:proofErr w:type="gramStart"/>
      <w:r w:rsidR="00C33320">
        <w:rPr>
          <w:rStyle w:val="EndnoteSymbol"/>
          <w:rFonts w:ascii="Times New Roman" w:hAnsi="Times New Roman" w:cs="Times New Roman"/>
          <w:kern w:val="28"/>
          <w:sz w:val="28"/>
          <w:szCs w:val="28"/>
        </w:rPr>
        <w:t xml:space="preserve">Как отмечает к.п.н. </w:t>
      </w:r>
      <w:r w:rsidR="00C33320" w:rsidRPr="00C33320">
        <w:rPr>
          <w:rStyle w:val="EndnoteSymbol"/>
          <w:rFonts w:ascii="Times New Roman" w:hAnsi="Times New Roman" w:cs="Times New Roman"/>
          <w:kern w:val="28"/>
          <w:sz w:val="28"/>
          <w:szCs w:val="28"/>
        </w:rPr>
        <w:t>Лосева О.В.</w:t>
      </w:r>
      <w:r w:rsidR="003A3B38">
        <w:rPr>
          <w:rStyle w:val="EndnoteSymbol"/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="00C33320" w:rsidRPr="00C33320">
        <w:rPr>
          <w:rStyle w:val="EndnoteSymbol"/>
          <w:rFonts w:ascii="Times New Roman" w:hAnsi="Times New Roman" w:cs="Times New Roman"/>
          <w:i/>
          <w:kern w:val="28"/>
        </w:rPr>
        <w:t>некоммерческая организация (НКО)</w:t>
      </w:r>
      <w:r w:rsidR="003A3B38">
        <w:rPr>
          <w:rStyle w:val="EndnoteSymbol"/>
          <w:rFonts w:ascii="Times New Roman" w:hAnsi="Times New Roman" w:cs="Times New Roman"/>
          <w:i/>
          <w:kern w:val="28"/>
        </w:rPr>
        <w:t xml:space="preserve"> — </w:t>
      </w:r>
      <w:r w:rsidR="00C33320" w:rsidRPr="00C33320">
        <w:rPr>
          <w:rStyle w:val="EndnoteSymbol"/>
          <w:rFonts w:ascii="Times New Roman" w:hAnsi="Times New Roman" w:cs="Times New Roman"/>
          <w:i/>
          <w:kern w:val="28"/>
        </w:rPr>
        <w:t>институциональная единица, занятая экономической деятельностью, целью которой не является извлечение прибыли для единиц, которые являются владельцами НКО или которые их финансируют и контролируют.</w:t>
      </w:r>
      <w:proofErr w:type="gramEnd"/>
      <w:r w:rsidR="00C33320" w:rsidRPr="00C33320">
        <w:rPr>
          <w:rStyle w:val="EndnoteSymbol"/>
          <w:rFonts w:ascii="Times New Roman" w:hAnsi="Times New Roman" w:cs="Times New Roman"/>
          <w:i/>
          <w:kern w:val="28"/>
        </w:rPr>
        <w:t xml:space="preserve"> НКО могут быть рыночными и нерыночными единицами. Рыночные НКО, финансируемые и контролируемые корпорациями, относятся к сектору корпораций (нефинансовых или финансовых). Нерыночные НКО могут финансироваться и контролироваться органами государственного управления и домашними хозяйствами. Первые относятся к сектору государственного управления, а вторые образуют отдельный сектор экономики</w:t>
      </w:r>
      <w:r w:rsidR="003A3B38">
        <w:rPr>
          <w:rStyle w:val="EndnoteSymbol"/>
          <w:rFonts w:ascii="Times New Roman" w:hAnsi="Times New Roman" w:cs="Times New Roman"/>
          <w:i/>
          <w:kern w:val="28"/>
        </w:rPr>
        <w:t xml:space="preserve"> — </w:t>
      </w:r>
      <w:r w:rsidR="00C33320" w:rsidRPr="00C33320">
        <w:rPr>
          <w:rStyle w:val="EndnoteSymbol"/>
          <w:rFonts w:ascii="Times New Roman" w:hAnsi="Times New Roman" w:cs="Times New Roman"/>
          <w:i/>
          <w:kern w:val="28"/>
        </w:rPr>
        <w:t xml:space="preserve">некоммерческие организации, обслуживающие домашние хозяйства (НКООДХ). </w:t>
      </w:r>
    </w:p>
    <w:p w:rsidR="006A6BE6" w:rsidRPr="001D3B97" w:rsidRDefault="006A6BE6" w:rsidP="0082380A">
      <w:pPr>
        <w:spacing w:after="0" w:line="360" w:lineRule="auto"/>
        <w:ind w:firstLine="709"/>
        <w:jc w:val="both"/>
        <w:rPr>
          <w:rStyle w:val="EndnoteSymbol"/>
          <w:rFonts w:ascii="Times New Roman" w:hAnsi="Times New Roman" w:cs="Times New Roman"/>
          <w:kern w:val="28"/>
          <w:sz w:val="28"/>
          <w:szCs w:val="28"/>
        </w:rPr>
      </w:pPr>
      <w:r w:rsidRPr="001D3B97">
        <w:rPr>
          <w:rStyle w:val="EndnoteSymbol"/>
          <w:rFonts w:ascii="Times New Roman" w:hAnsi="Times New Roman" w:cs="Times New Roman"/>
          <w:kern w:val="28"/>
          <w:sz w:val="28"/>
          <w:szCs w:val="28"/>
        </w:rPr>
        <w:t xml:space="preserve">Это, на наш взгляд, противоречит принципу приоритета экономического содержания над юридической формой, так </w:t>
      </w:r>
      <w:r w:rsidR="00A97402" w:rsidRPr="001D3B97">
        <w:rPr>
          <w:rStyle w:val="EndnoteSymbol"/>
          <w:rFonts w:ascii="Times New Roman" w:hAnsi="Times New Roman" w:cs="Times New Roman"/>
          <w:kern w:val="28"/>
          <w:sz w:val="28"/>
          <w:szCs w:val="28"/>
        </w:rPr>
        <w:t>как</w:t>
      </w:r>
      <w:r w:rsidRPr="001D3B97">
        <w:rPr>
          <w:rStyle w:val="EndnoteSymbol"/>
          <w:rFonts w:ascii="Times New Roman" w:hAnsi="Times New Roman" w:cs="Times New Roman"/>
          <w:kern w:val="28"/>
          <w:sz w:val="28"/>
          <w:szCs w:val="28"/>
        </w:rPr>
        <w:t xml:space="preserve"> ориентированность на те или иные сектора экономики </w:t>
      </w:r>
      <w:r w:rsidR="0082380A" w:rsidRPr="001D3B97">
        <w:rPr>
          <w:rStyle w:val="EndnoteSymbol"/>
          <w:rFonts w:ascii="Times New Roman" w:hAnsi="Times New Roman" w:cs="Times New Roman"/>
          <w:kern w:val="28"/>
          <w:sz w:val="28"/>
          <w:szCs w:val="28"/>
        </w:rPr>
        <w:t xml:space="preserve">не вытекает из </w:t>
      </w:r>
      <w:r w:rsidR="0082380A" w:rsidRPr="001D3B97">
        <w:rPr>
          <w:rStyle w:val="EndnoteSymbol"/>
          <w:rFonts w:ascii="Times New Roman" w:hAnsi="Times New Roman" w:cs="Times New Roman"/>
          <w:kern w:val="28"/>
          <w:sz w:val="28"/>
          <w:szCs w:val="28"/>
        </w:rPr>
        <w:lastRenderedPageBreak/>
        <w:t>институциональной принадлежности генерального донора, а</w:t>
      </w:r>
      <w:r w:rsidR="003A3B38">
        <w:rPr>
          <w:rStyle w:val="EndnoteSymbol"/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Pr="001D3B97">
        <w:rPr>
          <w:rStyle w:val="EndnoteSymbol"/>
          <w:rFonts w:ascii="Times New Roman" w:hAnsi="Times New Roman" w:cs="Times New Roman"/>
          <w:kern w:val="28"/>
          <w:sz w:val="28"/>
          <w:szCs w:val="28"/>
        </w:rPr>
        <w:t>заложена</w:t>
      </w:r>
      <w:r w:rsidR="0082380A">
        <w:rPr>
          <w:rStyle w:val="EndnoteSymbol"/>
          <w:rFonts w:ascii="Times New Roman" w:hAnsi="Times New Roman" w:cs="Times New Roman"/>
          <w:kern w:val="28"/>
          <w:sz w:val="28"/>
          <w:szCs w:val="28"/>
        </w:rPr>
        <w:t>, как постараемся доказать ниже,</w:t>
      </w:r>
      <w:r w:rsidRPr="001D3B97">
        <w:rPr>
          <w:rStyle w:val="EndnoteSymbol"/>
          <w:rFonts w:ascii="Times New Roman" w:hAnsi="Times New Roman" w:cs="Times New Roman"/>
          <w:kern w:val="28"/>
          <w:sz w:val="28"/>
          <w:szCs w:val="28"/>
        </w:rPr>
        <w:t xml:space="preserve"> в самой </w:t>
      </w:r>
      <w:r w:rsidR="0082380A">
        <w:rPr>
          <w:rStyle w:val="EndnoteSymbol"/>
          <w:rFonts w:ascii="Times New Roman" w:hAnsi="Times New Roman" w:cs="Times New Roman"/>
          <w:kern w:val="28"/>
          <w:sz w:val="28"/>
          <w:szCs w:val="28"/>
        </w:rPr>
        <w:t xml:space="preserve">сущности </w:t>
      </w:r>
      <w:r w:rsidRPr="001D3B97">
        <w:rPr>
          <w:rStyle w:val="EndnoteSymbol"/>
          <w:rFonts w:ascii="Times New Roman" w:hAnsi="Times New Roman" w:cs="Times New Roman"/>
          <w:kern w:val="28"/>
          <w:sz w:val="28"/>
          <w:szCs w:val="28"/>
        </w:rPr>
        <w:t>организационной форме НКО.</w:t>
      </w:r>
      <w:r w:rsidR="00D109EF" w:rsidRPr="001D3B97">
        <w:rPr>
          <w:rStyle w:val="EndnoteSymbol"/>
          <w:rFonts w:ascii="Times New Roman" w:hAnsi="Times New Roman" w:cs="Times New Roman"/>
          <w:kern w:val="28"/>
          <w:sz w:val="28"/>
          <w:szCs w:val="28"/>
        </w:rPr>
        <w:t xml:space="preserve"> Кроме того, в состав НКО включены и формы, приведенные в </w:t>
      </w:r>
      <w:r w:rsidR="0082380A">
        <w:rPr>
          <w:rStyle w:val="EndnoteSymbol"/>
          <w:rFonts w:ascii="Times New Roman" w:hAnsi="Times New Roman" w:cs="Times New Roman"/>
          <w:kern w:val="28"/>
          <w:sz w:val="28"/>
          <w:szCs w:val="28"/>
        </w:rPr>
        <w:t>Федеральном законе «Об общественных объединениях»</w:t>
      </w:r>
      <w:r w:rsidR="0005618F">
        <w:rPr>
          <w:rStyle w:val="EndnoteSymbol"/>
          <w:rFonts w:ascii="Times New Roman" w:hAnsi="Times New Roman" w:cs="Times New Roman"/>
          <w:kern w:val="28"/>
          <w:sz w:val="28"/>
          <w:szCs w:val="28"/>
        </w:rPr>
        <w:t xml:space="preserve">. </w:t>
      </w:r>
      <w:proofErr w:type="gramStart"/>
      <w:r w:rsidR="0005618F">
        <w:rPr>
          <w:rStyle w:val="EndnoteSymbol"/>
          <w:rFonts w:ascii="Times New Roman" w:hAnsi="Times New Roman" w:cs="Times New Roman"/>
          <w:kern w:val="28"/>
          <w:sz w:val="28"/>
          <w:szCs w:val="28"/>
        </w:rPr>
        <w:t>Такая</w:t>
      </w:r>
      <w:proofErr w:type="gramEnd"/>
      <w:r w:rsidR="0005618F">
        <w:rPr>
          <w:rStyle w:val="EndnoteSymbol"/>
          <w:rFonts w:ascii="Times New Roman" w:hAnsi="Times New Roman" w:cs="Times New Roman"/>
          <w:kern w:val="28"/>
          <w:sz w:val="28"/>
          <w:szCs w:val="28"/>
        </w:rPr>
        <w:t xml:space="preserve"> всеохватность</w:t>
      </w:r>
      <w:r w:rsidR="00D109EF" w:rsidRPr="001D3B97">
        <w:rPr>
          <w:rStyle w:val="EndnoteSymbol"/>
          <w:rFonts w:ascii="Times New Roman" w:hAnsi="Times New Roman" w:cs="Times New Roman"/>
          <w:kern w:val="28"/>
          <w:sz w:val="28"/>
          <w:szCs w:val="28"/>
        </w:rPr>
        <w:t xml:space="preserve"> окончательно размывает границ</w:t>
      </w:r>
      <w:r w:rsidR="003A3B38">
        <w:rPr>
          <w:rStyle w:val="EndnoteSymbol"/>
          <w:rFonts w:ascii="Times New Roman" w:hAnsi="Times New Roman" w:cs="Times New Roman"/>
          <w:kern w:val="28"/>
          <w:sz w:val="28"/>
          <w:szCs w:val="28"/>
        </w:rPr>
        <w:t>у</w:t>
      </w:r>
      <w:r w:rsidR="00D109EF" w:rsidRPr="001D3B97">
        <w:rPr>
          <w:rStyle w:val="EndnoteSymbol"/>
          <w:rFonts w:ascii="Times New Roman" w:hAnsi="Times New Roman" w:cs="Times New Roman"/>
          <w:kern w:val="28"/>
          <w:sz w:val="28"/>
          <w:szCs w:val="28"/>
        </w:rPr>
        <w:t xml:space="preserve"> третьего сектора экономики.</w:t>
      </w:r>
    </w:p>
    <w:p w:rsidR="00A97402" w:rsidRPr="001D3B97" w:rsidRDefault="00D109EF" w:rsidP="0082380A">
      <w:pPr>
        <w:pStyle w:val="a3"/>
        <w:spacing w:before="0" w:beforeAutospacing="0" w:after="0" w:line="360" w:lineRule="auto"/>
        <w:ind w:firstLine="856"/>
        <w:jc w:val="both"/>
        <w:rPr>
          <w:rStyle w:val="EndnoteSymbol"/>
          <w:kern w:val="1"/>
          <w:sz w:val="28"/>
          <w:szCs w:val="28"/>
          <w:lang w:eastAsia="hi-IN" w:bidi="hi-IN"/>
        </w:rPr>
      </w:pPr>
      <w:r w:rsidRPr="001D3B97">
        <w:rPr>
          <w:rStyle w:val="EndnoteSymbol"/>
          <w:kern w:val="1"/>
          <w:sz w:val="28"/>
          <w:szCs w:val="28"/>
          <w:lang w:eastAsia="hi-IN" w:bidi="hi-IN"/>
        </w:rPr>
        <w:t>И</w:t>
      </w:r>
      <w:r w:rsidR="00A97402" w:rsidRPr="001D3B97">
        <w:rPr>
          <w:rStyle w:val="EndnoteSymbol"/>
          <w:kern w:val="1"/>
          <w:sz w:val="28"/>
          <w:szCs w:val="28"/>
          <w:lang w:eastAsia="hi-IN" w:bidi="hi-IN"/>
        </w:rPr>
        <w:t xml:space="preserve">нституциональные единицы ― </w:t>
      </w:r>
      <w:r w:rsidRPr="001D3B97">
        <w:rPr>
          <w:rStyle w:val="EndnoteSymbol"/>
          <w:i/>
          <w:kern w:val="1"/>
          <w:lang w:eastAsia="hi-IN" w:bidi="hi-IN"/>
        </w:rPr>
        <w:t xml:space="preserve">это </w:t>
      </w:r>
      <w:r w:rsidR="00A97402" w:rsidRPr="001D3B97">
        <w:rPr>
          <w:rStyle w:val="EndnoteSymbol"/>
          <w:i/>
          <w:kern w:val="1"/>
          <w:lang w:eastAsia="hi-IN" w:bidi="hi-IN"/>
        </w:rPr>
        <w:t>хозяйственные единиц</w:t>
      </w:r>
      <w:r w:rsidR="003A3B38">
        <w:rPr>
          <w:rStyle w:val="EndnoteSymbol"/>
          <w:i/>
          <w:kern w:val="1"/>
          <w:lang w:eastAsia="hi-IN" w:bidi="hi-IN"/>
        </w:rPr>
        <w:t xml:space="preserve">ы, которые от своего имени </w:t>
      </w:r>
      <w:proofErr w:type="gramStart"/>
      <w:r w:rsidR="003A3B38">
        <w:rPr>
          <w:rStyle w:val="EndnoteSymbol"/>
          <w:i/>
          <w:kern w:val="1"/>
          <w:lang w:eastAsia="hi-IN" w:bidi="hi-IN"/>
        </w:rPr>
        <w:t>владеют и распоряжаю</w:t>
      </w:r>
      <w:r w:rsidR="00A97402" w:rsidRPr="001D3B97">
        <w:rPr>
          <w:rStyle w:val="EndnoteSymbol"/>
          <w:i/>
          <w:kern w:val="1"/>
          <w:lang w:eastAsia="hi-IN" w:bidi="hi-IN"/>
        </w:rPr>
        <w:t>тся</w:t>
      </w:r>
      <w:proofErr w:type="gramEnd"/>
      <w:r w:rsidR="00A97402" w:rsidRPr="001D3B97">
        <w:rPr>
          <w:rStyle w:val="EndnoteSymbol"/>
          <w:i/>
          <w:kern w:val="1"/>
          <w:lang w:eastAsia="hi-IN" w:bidi="hi-IN"/>
        </w:rPr>
        <w:t xml:space="preserve"> активами и доходами, вступают в экономические отношения с другими хозяйственными единицами, принимают на себя финансовые обязательства, принимают экономические решения, за которые они несут ответственность в соответствии с действующим законодательством.</w:t>
      </w:r>
    </w:p>
    <w:p w:rsidR="00A97402" w:rsidRPr="001D3B97" w:rsidRDefault="00A97402" w:rsidP="008238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B97">
        <w:rPr>
          <w:rFonts w:ascii="Times New Roman" w:hAnsi="Times New Roman" w:cs="Times New Roman"/>
          <w:sz w:val="28"/>
          <w:szCs w:val="28"/>
        </w:rPr>
        <w:t>Сегодня в экономической литературе доминирует  трактовка института как нормы. Классическим стало опред</w:t>
      </w:r>
      <w:r w:rsidR="003A3B38">
        <w:rPr>
          <w:rFonts w:ascii="Times New Roman" w:hAnsi="Times New Roman" w:cs="Times New Roman"/>
          <w:sz w:val="28"/>
          <w:szCs w:val="28"/>
        </w:rPr>
        <w:t>еление нобелевского лауреата Д. </w:t>
      </w:r>
      <w:proofErr w:type="spellStart"/>
      <w:r w:rsidRPr="001D3B97">
        <w:rPr>
          <w:rFonts w:ascii="Times New Roman" w:hAnsi="Times New Roman" w:cs="Times New Roman"/>
          <w:sz w:val="28"/>
          <w:szCs w:val="28"/>
        </w:rPr>
        <w:t>Норта</w:t>
      </w:r>
      <w:proofErr w:type="spellEnd"/>
      <w:r w:rsidRPr="001D3B97">
        <w:rPr>
          <w:rFonts w:ascii="Times New Roman" w:hAnsi="Times New Roman" w:cs="Times New Roman"/>
          <w:sz w:val="28"/>
          <w:szCs w:val="28"/>
        </w:rPr>
        <w:t xml:space="preserve">: </w:t>
      </w:r>
      <w:r w:rsidRPr="001D3B97">
        <w:rPr>
          <w:rFonts w:ascii="Times New Roman" w:hAnsi="Times New Roman" w:cs="Times New Roman"/>
          <w:i/>
          <w:sz w:val="24"/>
          <w:szCs w:val="24"/>
        </w:rPr>
        <w:t>“Институты</w:t>
      </w:r>
      <w:r w:rsidR="003A3B38">
        <w:rPr>
          <w:rFonts w:ascii="Times New Roman" w:hAnsi="Times New Roman" w:cs="Times New Roman"/>
          <w:i/>
          <w:sz w:val="24"/>
          <w:szCs w:val="24"/>
        </w:rPr>
        <w:t xml:space="preserve"> — </w:t>
      </w:r>
      <w:r w:rsidRPr="001D3B97">
        <w:rPr>
          <w:rFonts w:ascii="Times New Roman" w:hAnsi="Times New Roman" w:cs="Times New Roman"/>
          <w:i/>
          <w:sz w:val="24"/>
          <w:szCs w:val="24"/>
        </w:rPr>
        <w:t>это “правила игры” в обществе, или, выражаясь более формально, созданные человеком ограничительные рамки, которые организуют взаимоотношения между людьми”.</w:t>
      </w:r>
      <w:r w:rsidR="003A3B3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A3B38">
        <w:rPr>
          <w:rFonts w:ascii="Times New Roman" w:hAnsi="Times New Roman" w:cs="Times New Roman"/>
          <w:sz w:val="28"/>
          <w:szCs w:val="28"/>
        </w:rPr>
        <w:t>Т. </w:t>
      </w:r>
      <w:proofErr w:type="spellStart"/>
      <w:r w:rsidR="003A3B38">
        <w:rPr>
          <w:rFonts w:ascii="Times New Roman" w:hAnsi="Times New Roman" w:cs="Times New Roman"/>
          <w:sz w:val="28"/>
          <w:szCs w:val="28"/>
        </w:rPr>
        <w:t>Веблен</w:t>
      </w:r>
      <w:proofErr w:type="spellEnd"/>
      <w:r w:rsidR="003A3B38">
        <w:rPr>
          <w:rFonts w:ascii="Times New Roman" w:hAnsi="Times New Roman" w:cs="Times New Roman"/>
          <w:sz w:val="28"/>
          <w:szCs w:val="28"/>
        </w:rPr>
        <w:t>, У. </w:t>
      </w:r>
      <w:proofErr w:type="spellStart"/>
      <w:r w:rsidR="003A3B38">
        <w:rPr>
          <w:rFonts w:ascii="Times New Roman" w:hAnsi="Times New Roman" w:cs="Times New Roman"/>
          <w:sz w:val="28"/>
          <w:szCs w:val="28"/>
        </w:rPr>
        <w:t>Митчел</w:t>
      </w:r>
      <w:proofErr w:type="spellEnd"/>
      <w:r w:rsidR="003A3B38">
        <w:rPr>
          <w:rFonts w:ascii="Times New Roman" w:hAnsi="Times New Roman" w:cs="Times New Roman"/>
          <w:sz w:val="28"/>
          <w:szCs w:val="28"/>
        </w:rPr>
        <w:t>, В. Нил, Д. </w:t>
      </w:r>
      <w:proofErr w:type="spellStart"/>
      <w:r w:rsidRPr="001D3B97">
        <w:rPr>
          <w:rFonts w:ascii="Times New Roman" w:hAnsi="Times New Roman" w:cs="Times New Roman"/>
          <w:sz w:val="28"/>
          <w:szCs w:val="28"/>
        </w:rPr>
        <w:t>Фостер</w:t>
      </w:r>
      <w:proofErr w:type="spellEnd"/>
      <w:r w:rsidRPr="001D3B97">
        <w:rPr>
          <w:rFonts w:ascii="Times New Roman" w:hAnsi="Times New Roman" w:cs="Times New Roman"/>
          <w:sz w:val="28"/>
          <w:szCs w:val="28"/>
        </w:rPr>
        <w:t xml:space="preserve"> рассматривали институт как комплекс правил, стандартов поведения (рутин и </w:t>
      </w:r>
      <w:proofErr w:type="spellStart"/>
      <w:r w:rsidRPr="001D3B97">
        <w:rPr>
          <w:rFonts w:ascii="Times New Roman" w:hAnsi="Times New Roman" w:cs="Times New Roman"/>
          <w:sz w:val="28"/>
          <w:szCs w:val="28"/>
        </w:rPr>
        <w:t>хебитусов</w:t>
      </w:r>
      <w:proofErr w:type="spellEnd"/>
      <w:r w:rsidRPr="001D3B97">
        <w:rPr>
          <w:rStyle w:val="a4"/>
          <w:rFonts w:ascii="Times New Roman" w:hAnsi="Times New Roman" w:cs="Times New Roman"/>
          <w:sz w:val="28"/>
          <w:szCs w:val="28"/>
        </w:rPr>
        <w:footnoteReference w:id="3"/>
      </w:r>
      <w:r w:rsidRPr="001D3B97">
        <w:rPr>
          <w:rFonts w:ascii="Times New Roman" w:hAnsi="Times New Roman" w:cs="Times New Roman"/>
          <w:sz w:val="28"/>
          <w:szCs w:val="28"/>
        </w:rPr>
        <w:t xml:space="preserve">) и стереотипов мышления различных социальных групп [с. 41, 12]. </w:t>
      </w:r>
    </w:p>
    <w:p w:rsidR="00D109EF" w:rsidRPr="001D3B97" w:rsidRDefault="00D109EF" w:rsidP="0082380A">
      <w:pPr>
        <w:pStyle w:val="a3"/>
        <w:widowControl w:val="0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 w:rsidRPr="001D3B97">
        <w:rPr>
          <w:sz w:val="28"/>
          <w:szCs w:val="28"/>
        </w:rPr>
        <w:t>Казалось бы, эти элементы уже можно положить в основани</w:t>
      </w:r>
      <w:r w:rsidR="003A3B38">
        <w:rPr>
          <w:sz w:val="28"/>
          <w:szCs w:val="28"/>
        </w:rPr>
        <w:t xml:space="preserve">е </w:t>
      </w:r>
      <w:r w:rsidR="0005618F">
        <w:rPr>
          <w:sz w:val="28"/>
          <w:szCs w:val="28"/>
        </w:rPr>
        <w:t xml:space="preserve">институциональной </w:t>
      </w:r>
      <w:r w:rsidRPr="001D3B97">
        <w:rPr>
          <w:sz w:val="28"/>
          <w:szCs w:val="28"/>
        </w:rPr>
        <w:t>классификации</w:t>
      </w:r>
      <w:r w:rsidR="0005618F">
        <w:rPr>
          <w:sz w:val="28"/>
          <w:szCs w:val="28"/>
        </w:rPr>
        <w:t xml:space="preserve"> НКО</w:t>
      </w:r>
      <w:r w:rsidRPr="001D3B97">
        <w:rPr>
          <w:sz w:val="28"/>
          <w:szCs w:val="28"/>
        </w:rPr>
        <w:t xml:space="preserve">. Однако не стоит забывать, современная институциональная теория разделяет понятие институт и организация. Как удачно выразилась </w:t>
      </w:r>
      <w:proofErr w:type="spellStart"/>
      <w:r w:rsidRPr="001D3B97">
        <w:rPr>
          <w:sz w:val="28"/>
          <w:szCs w:val="28"/>
        </w:rPr>
        <w:t>Кирдиной</w:t>
      </w:r>
      <w:proofErr w:type="spellEnd"/>
      <w:r w:rsidRPr="001D3B97">
        <w:rPr>
          <w:sz w:val="28"/>
          <w:szCs w:val="28"/>
        </w:rPr>
        <w:t xml:space="preserve">: </w:t>
      </w:r>
      <w:r w:rsidRPr="001D3B97">
        <w:t>«</w:t>
      </w:r>
      <w:r w:rsidRPr="001D3B97">
        <w:rPr>
          <w:i/>
          <w:iCs/>
        </w:rPr>
        <w:t xml:space="preserve">Институт ― совокупность формальных и неформальных правил, которые </w:t>
      </w:r>
      <w:proofErr w:type="gramStart"/>
      <w:r w:rsidRPr="001D3B97">
        <w:rPr>
          <w:i/>
          <w:iCs/>
        </w:rPr>
        <w:t>реализуются и фиксируются</w:t>
      </w:r>
      <w:proofErr w:type="gramEnd"/>
      <w:r w:rsidRPr="001D3B97">
        <w:rPr>
          <w:i/>
          <w:iCs/>
        </w:rPr>
        <w:t xml:space="preserve"> организацией».</w:t>
      </w:r>
      <w:r w:rsidR="003A3B38">
        <w:rPr>
          <w:i/>
          <w:iCs/>
        </w:rPr>
        <w:t xml:space="preserve"> </w:t>
      </w:r>
      <w:r w:rsidRPr="001D3B97">
        <w:rPr>
          <w:sz w:val="28"/>
          <w:szCs w:val="28"/>
        </w:rPr>
        <w:t xml:space="preserve">Подтверждение этим словам мы находим в федеральном законодательстве: </w:t>
      </w:r>
      <w:r w:rsidRPr="001D3B97">
        <w:rPr>
          <w:i/>
          <w:iCs/>
        </w:rPr>
        <w:t>«Общественные объединения ― реализация права граждан на объединение»</w:t>
      </w:r>
      <w:proofErr w:type="gramStart"/>
      <w:r w:rsidRPr="001D3B97">
        <w:rPr>
          <w:i/>
          <w:iCs/>
        </w:rPr>
        <w:t>.</w:t>
      </w:r>
      <w:r w:rsidRPr="001D3B97">
        <w:rPr>
          <w:sz w:val="28"/>
          <w:szCs w:val="28"/>
        </w:rPr>
        <w:t>И</w:t>
      </w:r>
      <w:proofErr w:type="gramEnd"/>
      <w:r w:rsidRPr="001D3B97">
        <w:rPr>
          <w:sz w:val="28"/>
          <w:szCs w:val="28"/>
        </w:rPr>
        <w:t xml:space="preserve"> в этом мы видим черту, разделяющую общество и экономику. </w:t>
      </w:r>
    </w:p>
    <w:p w:rsidR="00D109EF" w:rsidRPr="001D3B97" w:rsidRDefault="00D109EF" w:rsidP="008238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B97">
        <w:rPr>
          <w:rFonts w:ascii="Times New Roman" w:hAnsi="Times New Roman" w:cs="Times New Roman"/>
          <w:sz w:val="28"/>
          <w:szCs w:val="28"/>
        </w:rPr>
        <w:lastRenderedPageBreak/>
        <w:t xml:space="preserve">Общество можно определить как </w:t>
      </w:r>
      <w:r w:rsidRPr="001D3B97">
        <w:rPr>
          <w:rFonts w:ascii="Times New Roman" w:hAnsi="Times New Roman" w:cs="Times New Roman"/>
          <w:i/>
          <w:iCs/>
          <w:sz w:val="28"/>
          <w:szCs w:val="28"/>
        </w:rPr>
        <w:t xml:space="preserve">систему взаимодействия индивидов по поводу наилучшего удовлетворения потребностей каждого. </w:t>
      </w:r>
      <w:r w:rsidRPr="001D3B97">
        <w:rPr>
          <w:rFonts w:ascii="Times New Roman" w:hAnsi="Times New Roman" w:cs="Times New Roman"/>
          <w:sz w:val="28"/>
          <w:szCs w:val="28"/>
        </w:rPr>
        <w:t>Подобное определение даёт и д.э.н., профессор В. Г. Гребенников, говоря об обществе как о «</w:t>
      </w:r>
      <w:r w:rsidRPr="001D3B97">
        <w:rPr>
          <w:rFonts w:ascii="Times New Roman" w:hAnsi="Times New Roman" w:cs="Times New Roman"/>
          <w:i/>
          <w:iCs/>
          <w:sz w:val="28"/>
          <w:szCs w:val="28"/>
        </w:rPr>
        <w:t>социальном хозяйстве как внешним образом упорядоченной совместной деятельности, направленной на мирное добывание средств удовлетворения потребностей»</w:t>
      </w:r>
      <w:r w:rsidR="003A3B38">
        <w:rPr>
          <w:rFonts w:ascii="Times New Roman" w:hAnsi="Times New Roman" w:cs="Times New Roman"/>
          <w:sz w:val="28"/>
          <w:szCs w:val="28"/>
        </w:rPr>
        <w:t xml:space="preserve">. </w:t>
      </w:r>
      <w:r w:rsidRPr="001D3B97">
        <w:rPr>
          <w:rFonts w:ascii="Times New Roman" w:hAnsi="Times New Roman" w:cs="Times New Roman"/>
          <w:sz w:val="28"/>
          <w:szCs w:val="28"/>
        </w:rPr>
        <w:t>Акцент на «мирн</w:t>
      </w:r>
      <w:r w:rsidR="003A3B38">
        <w:rPr>
          <w:rFonts w:ascii="Times New Roman" w:hAnsi="Times New Roman" w:cs="Times New Roman"/>
          <w:sz w:val="28"/>
          <w:szCs w:val="28"/>
        </w:rPr>
        <w:t>ое добывание» был сделан ещё М. </w:t>
      </w:r>
      <w:proofErr w:type="spellStart"/>
      <w:r w:rsidRPr="001D3B97">
        <w:rPr>
          <w:rFonts w:ascii="Times New Roman" w:hAnsi="Times New Roman" w:cs="Times New Roman"/>
          <w:sz w:val="28"/>
          <w:szCs w:val="28"/>
        </w:rPr>
        <w:t>Веблером</w:t>
      </w:r>
      <w:proofErr w:type="spellEnd"/>
      <w:r w:rsidR="00C33320">
        <w:rPr>
          <w:rStyle w:val="a4"/>
          <w:rFonts w:ascii="Times New Roman" w:hAnsi="Times New Roman" w:cs="Times New Roman"/>
          <w:sz w:val="28"/>
          <w:szCs w:val="28"/>
        </w:rPr>
        <w:footnoteReference w:id="4"/>
      </w:r>
      <w:r w:rsidRPr="001D3B97">
        <w:rPr>
          <w:rFonts w:ascii="Times New Roman" w:hAnsi="Times New Roman" w:cs="Times New Roman"/>
          <w:sz w:val="28"/>
          <w:szCs w:val="28"/>
        </w:rPr>
        <w:t xml:space="preserve">. В то время как экономика представляет собой </w:t>
      </w:r>
      <w:r w:rsidRPr="001D3B97">
        <w:rPr>
          <w:rFonts w:ascii="Times New Roman" w:hAnsi="Times New Roman" w:cs="Times New Roman"/>
          <w:i/>
          <w:sz w:val="28"/>
          <w:szCs w:val="28"/>
        </w:rPr>
        <w:t>совокупность отношений по поводу распределения условно ограниченных благ</w:t>
      </w:r>
      <w:r w:rsidRPr="001D3B97">
        <w:rPr>
          <w:rStyle w:val="a4"/>
          <w:rFonts w:ascii="Times New Roman" w:hAnsi="Times New Roman" w:cs="Times New Roman"/>
          <w:i/>
          <w:sz w:val="28"/>
          <w:szCs w:val="28"/>
        </w:rPr>
        <w:footnoteReference w:id="5"/>
      </w:r>
      <w:r w:rsidRPr="001D3B97">
        <w:rPr>
          <w:rFonts w:ascii="Times New Roman" w:hAnsi="Times New Roman" w:cs="Times New Roman"/>
          <w:i/>
          <w:sz w:val="28"/>
          <w:szCs w:val="28"/>
        </w:rPr>
        <w:t>.</w:t>
      </w:r>
      <w:r w:rsidRPr="001D3B97">
        <w:rPr>
          <w:rFonts w:ascii="Times New Roman" w:hAnsi="Times New Roman" w:cs="Times New Roman"/>
          <w:sz w:val="28"/>
          <w:szCs w:val="28"/>
        </w:rPr>
        <w:t xml:space="preserve"> Профессор Гребенников определяет институциональный аспект экономики как «</w:t>
      </w:r>
      <w:r w:rsidRPr="001D3B97">
        <w:rPr>
          <w:rFonts w:ascii="Times New Roman" w:hAnsi="Times New Roman" w:cs="Times New Roman"/>
          <w:i/>
          <w:iCs/>
          <w:sz w:val="28"/>
          <w:szCs w:val="28"/>
        </w:rPr>
        <w:t>механизм социального упорядочивания экономических действий»</w:t>
      </w:r>
      <w:r w:rsidR="00C33320">
        <w:rPr>
          <w:rStyle w:val="a4"/>
          <w:rFonts w:ascii="Times New Roman" w:hAnsi="Times New Roman" w:cs="Times New Roman"/>
          <w:i/>
          <w:iCs/>
          <w:sz w:val="28"/>
          <w:szCs w:val="28"/>
        </w:rPr>
        <w:footnoteReference w:id="6"/>
      </w:r>
      <w:r w:rsidRPr="001D3B97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4A0A02" w:rsidRPr="001D3B97" w:rsidRDefault="004A0A02" w:rsidP="0082380A">
      <w:pPr>
        <w:pStyle w:val="a3"/>
        <w:spacing w:before="0" w:beforeAutospacing="0" w:after="0" w:line="360" w:lineRule="auto"/>
        <w:ind w:firstLine="885"/>
        <w:jc w:val="both"/>
        <w:rPr>
          <w:sz w:val="28"/>
          <w:szCs w:val="28"/>
        </w:rPr>
      </w:pPr>
      <w:r w:rsidRPr="001D3B97">
        <w:rPr>
          <w:sz w:val="28"/>
          <w:szCs w:val="28"/>
        </w:rPr>
        <w:t xml:space="preserve">Таким образом, сущностной характеристикой некоммерческой организации является некоммерческий  способ хозяйствования как </w:t>
      </w:r>
      <w:r w:rsidRPr="001D3B97">
        <w:rPr>
          <w:i/>
          <w:sz w:val="28"/>
          <w:szCs w:val="28"/>
        </w:rPr>
        <w:t>экономическая деятельность субъектов и их объединений через учреждённые юридические лица, способствующая воплощению конституционных прав и свобод в интересах как конкретного человека, так и их групп</w:t>
      </w:r>
      <w:r w:rsidRPr="001D3B97">
        <w:rPr>
          <w:sz w:val="28"/>
          <w:szCs w:val="28"/>
        </w:rPr>
        <w:t xml:space="preserve">. Общественные объединения ― </w:t>
      </w:r>
      <w:r w:rsidRPr="001D3B97">
        <w:rPr>
          <w:i/>
          <w:sz w:val="28"/>
          <w:szCs w:val="28"/>
        </w:rPr>
        <w:t>часть социальных отношений</w:t>
      </w:r>
      <w:r w:rsidRPr="001D3B97">
        <w:rPr>
          <w:sz w:val="28"/>
          <w:szCs w:val="28"/>
        </w:rPr>
        <w:t xml:space="preserve"> и являются </w:t>
      </w:r>
      <w:r w:rsidRPr="001D3B97">
        <w:rPr>
          <w:i/>
          <w:sz w:val="28"/>
          <w:szCs w:val="28"/>
        </w:rPr>
        <w:t>формализованной ассоциацией для удовлетворения социальных потребностей человека</w:t>
      </w:r>
      <w:r w:rsidRPr="001D3B97">
        <w:rPr>
          <w:sz w:val="28"/>
          <w:szCs w:val="28"/>
        </w:rPr>
        <w:t>. Это разграничение закреплено также терминологически.</w:t>
      </w:r>
    </w:p>
    <w:p w:rsidR="0005618F" w:rsidRDefault="004A0A02" w:rsidP="0005618F">
      <w:pPr>
        <w:spacing w:after="0" w:line="360" w:lineRule="auto"/>
        <w:ind w:firstLine="709"/>
        <w:jc w:val="both"/>
        <w:rPr>
          <w:rStyle w:val="EndnoteSymbol"/>
          <w:rFonts w:ascii="Times New Roman" w:hAnsi="Times New Roman" w:cs="Times New Roman"/>
          <w:sz w:val="28"/>
          <w:szCs w:val="28"/>
        </w:rPr>
      </w:pPr>
      <w:r w:rsidRPr="001D3B97">
        <w:rPr>
          <w:rStyle w:val="EndnoteSymbol"/>
          <w:rFonts w:ascii="Times New Roman" w:hAnsi="Times New Roman" w:cs="Times New Roman"/>
          <w:sz w:val="28"/>
          <w:szCs w:val="28"/>
        </w:rPr>
        <w:t>Организация ― более формализованное формирование, чем объединение. С позиции социологии она возникает  тогда, когда достижение индивидуальных целей осуществляется через достижение общих</w:t>
      </w:r>
      <w:r w:rsidR="0005618F">
        <w:rPr>
          <w:rStyle w:val="EndnoteSymbol"/>
          <w:rFonts w:ascii="Times New Roman" w:hAnsi="Times New Roman" w:cs="Times New Roman"/>
          <w:sz w:val="28"/>
          <w:szCs w:val="28"/>
        </w:rPr>
        <w:t>,</w:t>
      </w:r>
      <w:r w:rsidR="00C33320">
        <w:rPr>
          <w:rStyle w:val="EndnoteSymbol"/>
          <w:rFonts w:ascii="Times New Roman" w:hAnsi="Times New Roman" w:cs="Times New Roman"/>
          <w:sz w:val="28"/>
          <w:szCs w:val="28"/>
        </w:rPr>
        <w:t xml:space="preserve"> и наоборот</w:t>
      </w:r>
      <w:r w:rsidR="00C33320">
        <w:rPr>
          <w:rStyle w:val="a4"/>
          <w:rFonts w:ascii="Times New Roman" w:eastAsia="SimSun" w:hAnsi="Times New Roman" w:cs="Times New Roman"/>
          <w:position w:val="10"/>
          <w:sz w:val="28"/>
          <w:szCs w:val="28"/>
        </w:rPr>
        <w:footnoteReference w:id="7"/>
      </w:r>
      <w:r w:rsidR="00C33320">
        <w:rPr>
          <w:rStyle w:val="EndnoteSymbol"/>
          <w:rFonts w:ascii="Times New Roman" w:hAnsi="Times New Roman" w:cs="Times New Roman"/>
          <w:sz w:val="28"/>
          <w:szCs w:val="28"/>
        </w:rPr>
        <w:t>.</w:t>
      </w:r>
    </w:p>
    <w:p w:rsidR="0005618F" w:rsidRDefault="004A0A02" w:rsidP="000561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B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Как сектор экономики НКО</w:t>
      </w:r>
      <w:r w:rsidR="003A3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— </w:t>
      </w:r>
      <w:r w:rsidRPr="001D3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сложный комплекс, испытывающий влияние всех участников экономики и стремительно меняющийся под этим влиянием, но </w:t>
      </w:r>
      <w:proofErr w:type="gramStart"/>
      <w:r w:rsidRPr="001D3B9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</w:t>
      </w:r>
      <w:proofErr w:type="gramEnd"/>
      <w:r w:rsidRPr="001D3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 стремящийся удовлетворить потребности человека.</w:t>
      </w:r>
    </w:p>
    <w:p w:rsidR="004A0A02" w:rsidRPr="001D3B97" w:rsidRDefault="004A0A02" w:rsidP="000561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каждого сектора экономики существует свой ключевой признак. Так для бизнеса ― это обмен, для социума ― распределение, а для государства ― выравнивание. Этот признак выражается по-разному. </w:t>
      </w:r>
      <w:proofErr w:type="gramStart"/>
      <w:r w:rsidRPr="001D3B9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Такое «выражение» мы определяем как «характер деятельности»: производство, социальная программа, самоорганизация.</w:t>
      </w:r>
      <w:proofErr w:type="gramEnd"/>
    </w:p>
    <w:p w:rsidR="004A0A02" w:rsidRPr="001D3B97" w:rsidRDefault="004A0A02" w:rsidP="008238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B9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 потребительский к</w:t>
      </w:r>
      <w:r w:rsidR="00316319">
        <w:rPr>
          <w:rFonts w:ascii="Times New Roman" w:eastAsia="Times New Roman" w:hAnsi="Times New Roman" w:cs="Times New Roman"/>
          <w:sz w:val="28"/>
          <w:szCs w:val="28"/>
          <w:lang w:eastAsia="ru-RU"/>
        </w:rPr>
        <w:t>ооператив, являясь НКО, стремит</w:t>
      </w:r>
      <w:r w:rsidRPr="001D3B97">
        <w:rPr>
          <w:rFonts w:ascii="Times New Roman" w:eastAsia="Times New Roman" w:hAnsi="Times New Roman" w:cs="Times New Roman"/>
          <w:sz w:val="28"/>
          <w:szCs w:val="28"/>
          <w:lang w:eastAsia="ru-RU"/>
        </w:rPr>
        <w:t>ся удовлетворить финансовые потребности своих членов, что соответствует сфере бизнеса, а товарищество собственников жилья ― потребности в безопасности сосуществования, что является сферой государства. Исходя из этой предпосылки, мы находим взаимовлияние и взаимопроникновение последних, которое можно обозначить как ориентацию НКО на иной сектор экономики и выделить:</w:t>
      </w:r>
    </w:p>
    <w:p w:rsidR="004A0A02" w:rsidRPr="001D3B97" w:rsidRDefault="004A0A02" w:rsidP="008238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proofErr w:type="spellStart"/>
      <w:r w:rsidRPr="001D3B97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бизенс-ориентированные</w:t>
      </w:r>
      <w:proofErr w:type="spellEnd"/>
      <w:r w:rsidRPr="001D3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формы,</w:t>
      </w:r>
    </w:p>
    <w:p w:rsidR="004A0A02" w:rsidRPr="001D3B97" w:rsidRDefault="004A0A02" w:rsidP="008238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proofErr w:type="gramStart"/>
      <w:r w:rsidRPr="001D3B9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государство-ориентированные</w:t>
      </w:r>
      <w:proofErr w:type="gramEnd"/>
      <w:r w:rsidRPr="001D3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формы,</w:t>
      </w:r>
    </w:p>
    <w:p w:rsidR="004A0A02" w:rsidRPr="001D3B97" w:rsidRDefault="004A0A02" w:rsidP="008238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B97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социально-ориентированные формы.</w:t>
      </w:r>
    </w:p>
    <w:p w:rsidR="004A0A02" w:rsidRPr="001D3B97" w:rsidRDefault="004A0A02" w:rsidP="0005618F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1D3B97">
        <w:rPr>
          <w:rFonts w:ascii="Times New Roman" w:eastAsia="Calibri" w:hAnsi="Times New Roman" w:cs="Times New Roman"/>
          <w:color w:val="00000A"/>
          <w:sz w:val="28"/>
          <w:szCs w:val="28"/>
        </w:rPr>
        <w:t>Это влияние даёт основание для дальнейшей классификации НКО:</w:t>
      </w:r>
    </w:p>
    <w:p w:rsidR="00C33320" w:rsidRPr="00C33320" w:rsidRDefault="004A0A02" w:rsidP="0082380A">
      <w:pPr>
        <w:pStyle w:val="a7"/>
        <w:numPr>
          <w:ilvl w:val="0"/>
          <w:numId w:val="3"/>
        </w:numPr>
        <w:spacing w:after="0" w:line="360" w:lineRule="auto"/>
        <w:ind w:left="0" w:firstLine="885"/>
        <w:jc w:val="both"/>
        <w:rPr>
          <w:rFonts w:ascii="Times New Roman" w:hAnsi="Times New Roman" w:cs="Times New Roman"/>
          <w:sz w:val="28"/>
          <w:szCs w:val="28"/>
        </w:rPr>
      </w:pPr>
      <w:r w:rsidRPr="00C333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создания имущественной базы НКО. Корпорации представляют собой добровольные объединения физических и (или) юридических лиц, организованные на началах членс</w:t>
      </w:r>
      <w:r w:rsidR="00316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тва их участников. Учреждения — </w:t>
      </w:r>
      <w:r w:rsidRPr="00C3332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организации, создаваемые одним или несколькими лицами и не имеющие членства, т. е. строго фиксированного участия.</w:t>
      </w:r>
      <w:r w:rsidR="00C33320">
        <w:rPr>
          <w:rStyle w:val="a4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8"/>
      </w:r>
    </w:p>
    <w:p w:rsidR="004A0A02" w:rsidRPr="00C33320" w:rsidRDefault="004A0A02" w:rsidP="0082380A">
      <w:pPr>
        <w:pStyle w:val="a7"/>
        <w:numPr>
          <w:ilvl w:val="0"/>
          <w:numId w:val="3"/>
        </w:numPr>
        <w:spacing w:after="0" w:line="360" w:lineRule="auto"/>
        <w:ind w:left="0" w:firstLine="885"/>
        <w:jc w:val="both"/>
        <w:rPr>
          <w:rFonts w:ascii="Times New Roman" w:hAnsi="Times New Roman" w:cs="Times New Roman"/>
          <w:sz w:val="28"/>
          <w:szCs w:val="28"/>
        </w:rPr>
      </w:pPr>
      <w:r w:rsidRPr="00C33320">
        <w:rPr>
          <w:rFonts w:ascii="Times New Roman" w:hAnsi="Times New Roman" w:cs="Times New Roman"/>
          <w:sz w:val="28"/>
          <w:szCs w:val="28"/>
        </w:rPr>
        <w:t xml:space="preserve">Направленность цели деятельности. Дает итерационное разделение на членов организации и общество в целом. </w:t>
      </w:r>
    </w:p>
    <w:p w:rsidR="004A0A02" w:rsidRPr="001D3B97" w:rsidRDefault="004A0A02" w:rsidP="0082380A">
      <w:pPr>
        <w:pStyle w:val="a7"/>
        <w:numPr>
          <w:ilvl w:val="0"/>
          <w:numId w:val="3"/>
        </w:numPr>
        <w:spacing w:after="0" w:line="360" w:lineRule="auto"/>
        <w:ind w:left="0" w:firstLine="885"/>
        <w:jc w:val="both"/>
        <w:rPr>
          <w:rFonts w:ascii="Times New Roman" w:hAnsi="Times New Roman" w:cs="Times New Roman"/>
          <w:sz w:val="28"/>
          <w:szCs w:val="28"/>
        </w:rPr>
      </w:pPr>
      <w:r w:rsidRPr="001D3B97">
        <w:rPr>
          <w:rFonts w:ascii="Times New Roman" w:hAnsi="Times New Roman" w:cs="Times New Roman"/>
          <w:sz w:val="28"/>
          <w:szCs w:val="28"/>
        </w:rPr>
        <w:t>Характер деятельности. Здесь проявляется тройное деление: деятельность по улучшению благосостояния, деятельность по организации взаимоотношений и деятельность по поводу удовлетворения потребностей.</w:t>
      </w:r>
    </w:p>
    <w:p w:rsidR="001D3B97" w:rsidRPr="001D3B97" w:rsidRDefault="001D3B97" w:rsidP="0082380A">
      <w:pPr>
        <w:pStyle w:val="a7"/>
        <w:numPr>
          <w:ilvl w:val="0"/>
          <w:numId w:val="3"/>
        </w:numPr>
        <w:spacing w:after="0" w:line="360" w:lineRule="auto"/>
        <w:ind w:left="0" w:firstLine="885"/>
        <w:jc w:val="both"/>
        <w:rPr>
          <w:rFonts w:ascii="Times New Roman" w:hAnsi="Times New Roman" w:cs="Times New Roman"/>
          <w:sz w:val="28"/>
          <w:szCs w:val="28"/>
        </w:rPr>
      </w:pPr>
      <w:r w:rsidRPr="001D3B97">
        <w:rPr>
          <w:rFonts w:ascii="Times New Roman" w:hAnsi="Times New Roman" w:cs="Times New Roman"/>
          <w:sz w:val="28"/>
          <w:szCs w:val="28"/>
        </w:rPr>
        <w:lastRenderedPageBreak/>
        <w:t xml:space="preserve">Основа взаимодействия. </w:t>
      </w:r>
      <w:r w:rsidR="004A0A02" w:rsidRPr="001D3B97">
        <w:rPr>
          <w:rFonts w:ascii="Times New Roman" w:hAnsi="Times New Roman" w:cs="Times New Roman"/>
          <w:sz w:val="28"/>
          <w:szCs w:val="28"/>
        </w:rPr>
        <w:t xml:space="preserve">Общность интересов (в т.ч. кровнородственные или соседско-территориальные) и имущественные взносы. Хотя и отметим, что для некоторых форм законодательно она не указана. Если рассматривать только те НКО, для которых указана основа взаимодействия, то видно, что имущественные взносы характерны для тех, кто занимается производством и перераспределением имущества и денежных средств. </w:t>
      </w:r>
    </w:p>
    <w:p w:rsidR="001D3B97" w:rsidRPr="001D3B97" w:rsidRDefault="001D3B97" w:rsidP="0082380A">
      <w:pPr>
        <w:pStyle w:val="a7"/>
        <w:numPr>
          <w:ilvl w:val="0"/>
          <w:numId w:val="3"/>
        </w:numPr>
        <w:spacing w:after="0" w:line="360" w:lineRule="auto"/>
        <w:ind w:left="0" w:firstLine="885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1D3B97">
        <w:rPr>
          <w:rFonts w:ascii="Times New Roman" w:hAnsi="Times New Roman" w:cs="Times New Roman"/>
          <w:sz w:val="28"/>
          <w:szCs w:val="28"/>
        </w:rPr>
        <w:t>Ч</w:t>
      </w:r>
      <w:r w:rsidR="004A0A02" w:rsidRPr="001D3B97">
        <w:rPr>
          <w:rFonts w:ascii="Times New Roman" w:hAnsi="Times New Roman" w:cs="Times New Roman"/>
          <w:sz w:val="28"/>
          <w:szCs w:val="28"/>
        </w:rPr>
        <w:t>ленств</w:t>
      </w:r>
      <w:r w:rsidRPr="001D3B97">
        <w:rPr>
          <w:rFonts w:ascii="Times New Roman" w:hAnsi="Times New Roman" w:cs="Times New Roman"/>
          <w:sz w:val="28"/>
          <w:szCs w:val="28"/>
        </w:rPr>
        <w:t>о</w:t>
      </w:r>
      <w:r w:rsidR="004A0A02" w:rsidRPr="001D3B97">
        <w:rPr>
          <w:rFonts w:ascii="Times New Roman" w:hAnsi="Times New Roman" w:cs="Times New Roman"/>
          <w:sz w:val="28"/>
          <w:szCs w:val="28"/>
        </w:rPr>
        <w:t xml:space="preserve">. Оно напрямую соотносится с направленностью деятельности. Так если деятельность направлена на саму организацию, то она имеет членство; в противном случае нет. </w:t>
      </w:r>
    </w:p>
    <w:p w:rsidR="001D3B97" w:rsidRPr="001D3B97" w:rsidRDefault="004A0A02" w:rsidP="0005618F">
      <w:pPr>
        <w:pStyle w:val="a7"/>
        <w:spacing w:after="0" w:line="360" w:lineRule="auto"/>
        <w:ind w:left="0" w:firstLine="885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1D3B97">
        <w:rPr>
          <w:rFonts w:ascii="Times New Roman" w:hAnsi="Times New Roman" w:cs="Times New Roman"/>
          <w:sz w:val="28"/>
          <w:szCs w:val="28"/>
        </w:rPr>
        <w:t>Построенная классификация выделяет ключевые формы некоммерческой организации</w:t>
      </w:r>
      <w:r w:rsidR="00316319">
        <w:rPr>
          <w:rFonts w:ascii="Times New Roman" w:hAnsi="Times New Roman" w:cs="Times New Roman"/>
          <w:sz w:val="28"/>
          <w:szCs w:val="28"/>
        </w:rPr>
        <w:t xml:space="preserve"> — общественную организацию </w:t>
      </w:r>
      <w:r w:rsidRPr="001D3B97">
        <w:rPr>
          <w:rFonts w:ascii="Times New Roman" w:hAnsi="Times New Roman" w:cs="Times New Roman"/>
          <w:sz w:val="28"/>
          <w:szCs w:val="28"/>
        </w:rPr>
        <w:t xml:space="preserve">и общественный фонд. Именно в них в полной мере проявляется </w:t>
      </w:r>
      <w:r w:rsidR="001D3B97" w:rsidRPr="001D3B97">
        <w:rPr>
          <w:rFonts w:ascii="Times New Roman" w:hAnsi="Times New Roman" w:cs="Times New Roman"/>
          <w:sz w:val="28"/>
          <w:szCs w:val="28"/>
        </w:rPr>
        <w:t>сущ</w:t>
      </w:r>
      <w:r w:rsidR="00316319">
        <w:rPr>
          <w:rFonts w:ascii="Times New Roman" w:hAnsi="Times New Roman" w:cs="Times New Roman"/>
          <w:sz w:val="28"/>
          <w:szCs w:val="28"/>
        </w:rPr>
        <w:t xml:space="preserve">ность некоммерческого сектора, </w:t>
      </w:r>
      <w:r w:rsidRPr="001D3B97">
        <w:rPr>
          <w:rFonts w:ascii="Times New Roman" w:hAnsi="Times New Roman" w:cs="Times New Roman"/>
          <w:sz w:val="28"/>
          <w:szCs w:val="28"/>
        </w:rPr>
        <w:t>социальная ориентированность.</w:t>
      </w:r>
      <w:r w:rsidR="001D3B97" w:rsidRPr="001D3B97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И их отчетность представляет наибольший интерес для пользователей</w:t>
      </w:r>
      <w:r w:rsidR="0005618F">
        <w:rPr>
          <w:rFonts w:ascii="Times New Roman" w:eastAsia="Calibri" w:hAnsi="Times New Roman" w:cs="Times New Roman"/>
          <w:color w:val="00000A"/>
          <w:sz w:val="28"/>
          <w:szCs w:val="28"/>
        </w:rPr>
        <w:t>. Объекты интереса следующие</w:t>
      </w:r>
      <w:r w:rsidR="00C33320">
        <w:rPr>
          <w:rStyle w:val="a4"/>
          <w:rFonts w:ascii="Times New Roman" w:eastAsia="Calibri" w:hAnsi="Times New Roman" w:cs="Times New Roman"/>
          <w:color w:val="00000A"/>
          <w:sz w:val="28"/>
          <w:szCs w:val="28"/>
        </w:rPr>
        <w:footnoteReference w:id="9"/>
      </w:r>
      <w:r w:rsidR="0005618F">
        <w:rPr>
          <w:rFonts w:ascii="Times New Roman" w:eastAsia="Calibri" w:hAnsi="Times New Roman" w:cs="Times New Roman"/>
          <w:color w:val="00000A"/>
          <w:sz w:val="28"/>
          <w:szCs w:val="28"/>
        </w:rPr>
        <w:t>.</w:t>
      </w:r>
    </w:p>
    <w:p w:rsidR="001D3B97" w:rsidRPr="001D3B97" w:rsidRDefault="001D3B97" w:rsidP="0082380A">
      <w:pPr>
        <w:tabs>
          <w:tab w:val="left" w:pos="132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A"/>
          <w:sz w:val="28"/>
          <w:szCs w:val="28"/>
          <w:u w:val="single"/>
        </w:rPr>
      </w:pPr>
      <w:r w:rsidRPr="001D3B97">
        <w:rPr>
          <w:rFonts w:ascii="Times New Roman" w:eastAsia="Calibri" w:hAnsi="Times New Roman" w:cs="Times New Roman"/>
          <w:color w:val="00000A"/>
          <w:sz w:val="28"/>
          <w:szCs w:val="28"/>
          <w:u w:val="single"/>
        </w:rPr>
        <w:t>Внешни</w:t>
      </w:r>
      <w:r w:rsidR="0005618F">
        <w:rPr>
          <w:rFonts w:ascii="Times New Roman" w:eastAsia="Calibri" w:hAnsi="Times New Roman" w:cs="Times New Roman"/>
          <w:color w:val="00000A"/>
          <w:sz w:val="28"/>
          <w:szCs w:val="28"/>
          <w:u w:val="single"/>
        </w:rPr>
        <w:t>х</w:t>
      </w:r>
      <w:r w:rsidRPr="001D3B97">
        <w:rPr>
          <w:rFonts w:ascii="Times New Roman" w:eastAsia="Calibri" w:hAnsi="Times New Roman" w:cs="Times New Roman"/>
          <w:color w:val="00000A"/>
          <w:sz w:val="28"/>
          <w:szCs w:val="28"/>
          <w:u w:val="single"/>
        </w:rPr>
        <w:t xml:space="preserve"> пользовател</w:t>
      </w:r>
      <w:r w:rsidR="0005618F">
        <w:rPr>
          <w:rFonts w:ascii="Times New Roman" w:eastAsia="Calibri" w:hAnsi="Times New Roman" w:cs="Times New Roman"/>
          <w:color w:val="00000A"/>
          <w:sz w:val="28"/>
          <w:szCs w:val="28"/>
          <w:u w:val="single"/>
        </w:rPr>
        <w:t>ей</w:t>
      </w:r>
    </w:p>
    <w:p w:rsidR="001D3B97" w:rsidRPr="001D3B97" w:rsidRDefault="001D3B97" w:rsidP="0082380A">
      <w:pPr>
        <w:tabs>
          <w:tab w:val="left" w:pos="132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1D3B97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а. Доноры/ </w:t>
      </w:r>
      <w:proofErr w:type="spellStart"/>
      <w:r w:rsidRPr="001D3B97">
        <w:rPr>
          <w:rFonts w:ascii="Times New Roman" w:eastAsia="Calibri" w:hAnsi="Times New Roman" w:cs="Times New Roman"/>
          <w:color w:val="00000A"/>
          <w:sz w:val="28"/>
          <w:szCs w:val="28"/>
        </w:rPr>
        <w:t>грантодатели</w:t>
      </w:r>
      <w:proofErr w:type="spellEnd"/>
      <w:r w:rsidRPr="001D3B97">
        <w:rPr>
          <w:rFonts w:ascii="Times New Roman" w:eastAsia="Calibri" w:hAnsi="Times New Roman" w:cs="Times New Roman"/>
          <w:color w:val="00000A"/>
          <w:sz w:val="28"/>
          <w:szCs w:val="28"/>
        </w:rPr>
        <w:t>/ представители фондов</w:t>
      </w:r>
    </w:p>
    <w:p w:rsidR="001D3B97" w:rsidRPr="001D3B97" w:rsidRDefault="001D3B97" w:rsidP="0082380A">
      <w:pPr>
        <w:tabs>
          <w:tab w:val="left" w:pos="1320"/>
        </w:tabs>
        <w:spacing w:after="0" w:line="360" w:lineRule="auto"/>
        <w:ind w:left="567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1D3B97">
        <w:rPr>
          <w:rFonts w:ascii="Times New Roman" w:eastAsia="Calibri" w:hAnsi="Times New Roman" w:cs="Times New Roman"/>
          <w:color w:val="00000A"/>
          <w:sz w:val="28"/>
          <w:szCs w:val="28"/>
        </w:rPr>
        <w:t>- степень достижения целей, обозначенн</w:t>
      </w:r>
      <w:r w:rsidR="00316319">
        <w:rPr>
          <w:rFonts w:ascii="Times New Roman" w:eastAsia="Calibri" w:hAnsi="Times New Roman" w:cs="Times New Roman"/>
          <w:color w:val="00000A"/>
          <w:sz w:val="28"/>
          <w:szCs w:val="28"/>
        </w:rPr>
        <w:t>ых</w:t>
      </w:r>
      <w:r w:rsidRPr="001D3B97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в финансовых документах и отчётах;</w:t>
      </w:r>
    </w:p>
    <w:p w:rsidR="001D3B97" w:rsidRPr="001D3B97" w:rsidRDefault="001D3B97" w:rsidP="0082380A">
      <w:pPr>
        <w:tabs>
          <w:tab w:val="left" w:pos="1320"/>
        </w:tabs>
        <w:spacing w:after="0" w:line="360" w:lineRule="auto"/>
        <w:ind w:left="567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1D3B97">
        <w:rPr>
          <w:rFonts w:ascii="Times New Roman" w:eastAsia="Calibri" w:hAnsi="Times New Roman" w:cs="Times New Roman"/>
          <w:color w:val="00000A"/>
          <w:sz w:val="28"/>
          <w:szCs w:val="28"/>
        </w:rPr>
        <w:t>- уровень согласованности в размере и способе использования фондов;</w:t>
      </w:r>
    </w:p>
    <w:p w:rsidR="001D3B97" w:rsidRPr="001D3B97" w:rsidRDefault="001D3B97" w:rsidP="0082380A">
      <w:pPr>
        <w:tabs>
          <w:tab w:val="left" w:pos="1320"/>
        </w:tabs>
        <w:spacing w:after="0" w:line="360" w:lineRule="auto"/>
        <w:ind w:left="567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1D3B97">
        <w:rPr>
          <w:rFonts w:ascii="Times New Roman" w:eastAsia="Calibri" w:hAnsi="Times New Roman" w:cs="Times New Roman"/>
          <w:color w:val="00000A"/>
          <w:sz w:val="28"/>
          <w:szCs w:val="28"/>
        </w:rPr>
        <w:t>- степень соответствия установленного бухгалтерского учёта системе и процедурам отчетности;</w:t>
      </w:r>
    </w:p>
    <w:p w:rsidR="001D3B97" w:rsidRPr="001D3B97" w:rsidRDefault="001D3B97" w:rsidP="0082380A">
      <w:pPr>
        <w:tabs>
          <w:tab w:val="left" w:pos="132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proofErr w:type="gramStart"/>
      <w:r w:rsidRPr="001D3B97">
        <w:rPr>
          <w:rFonts w:ascii="Times New Roman" w:eastAsia="Calibri" w:hAnsi="Times New Roman" w:cs="Times New Roman"/>
          <w:color w:val="00000A"/>
          <w:sz w:val="28"/>
          <w:szCs w:val="28"/>
        </w:rPr>
        <w:t>б</w:t>
      </w:r>
      <w:proofErr w:type="gramEnd"/>
      <w:r w:rsidRPr="001D3B97">
        <w:rPr>
          <w:rFonts w:ascii="Times New Roman" w:eastAsia="Calibri" w:hAnsi="Times New Roman" w:cs="Times New Roman"/>
          <w:color w:val="00000A"/>
          <w:sz w:val="28"/>
          <w:szCs w:val="28"/>
        </w:rPr>
        <w:t>. Государственные органы</w:t>
      </w:r>
    </w:p>
    <w:p w:rsidR="001D3B97" w:rsidRPr="001D3B97" w:rsidRDefault="001D3B97" w:rsidP="0082380A">
      <w:pPr>
        <w:tabs>
          <w:tab w:val="left" w:pos="1320"/>
        </w:tabs>
        <w:spacing w:after="0" w:line="360" w:lineRule="auto"/>
        <w:ind w:left="567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1D3B97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- Соответствие законам, государственным правилам и инструкциям, уплата налогов и встречных требований;</w:t>
      </w:r>
    </w:p>
    <w:p w:rsidR="001D3B97" w:rsidRPr="001D3B97" w:rsidRDefault="001D3B97" w:rsidP="0082380A">
      <w:pPr>
        <w:tabs>
          <w:tab w:val="left" w:pos="132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proofErr w:type="gramStart"/>
      <w:r w:rsidRPr="001D3B97">
        <w:rPr>
          <w:rFonts w:ascii="Times New Roman" w:eastAsia="Calibri" w:hAnsi="Times New Roman" w:cs="Times New Roman"/>
          <w:color w:val="00000A"/>
          <w:sz w:val="28"/>
          <w:szCs w:val="28"/>
        </w:rPr>
        <w:t>в</w:t>
      </w:r>
      <w:proofErr w:type="gramEnd"/>
      <w:r w:rsidRPr="001D3B97">
        <w:rPr>
          <w:rFonts w:ascii="Times New Roman" w:eastAsia="Calibri" w:hAnsi="Times New Roman" w:cs="Times New Roman"/>
          <w:color w:val="00000A"/>
          <w:sz w:val="28"/>
          <w:szCs w:val="28"/>
        </w:rPr>
        <w:t>. Целевая аудитория</w:t>
      </w:r>
    </w:p>
    <w:p w:rsidR="001D3B97" w:rsidRPr="001D3B97" w:rsidRDefault="001D3B97" w:rsidP="0082380A">
      <w:pPr>
        <w:tabs>
          <w:tab w:val="left" w:pos="1320"/>
        </w:tabs>
        <w:spacing w:after="0" w:line="360" w:lineRule="auto"/>
        <w:ind w:left="567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1D3B97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- Воздействие активности НКО на целевую группу и общество в целом.</w:t>
      </w:r>
    </w:p>
    <w:p w:rsidR="001D3B97" w:rsidRPr="001D3B97" w:rsidRDefault="001D3B97" w:rsidP="0082380A">
      <w:pPr>
        <w:tabs>
          <w:tab w:val="left" w:pos="132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A"/>
          <w:sz w:val="28"/>
          <w:szCs w:val="28"/>
          <w:u w:val="single"/>
        </w:rPr>
      </w:pPr>
      <w:r w:rsidRPr="001D3B97">
        <w:rPr>
          <w:rFonts w:ascii="Times New Roman" w:eastAsia="Calibri" w:hAnsi="Times New Roman" w:cs="Times New Roman"/>
          <w:color w:val="00000A"/>
          <w:sz w:val="28"/>
          <w:szCs w:val="28"/>
          <w:u w:val="single"/>
        </w:rPr>
        <w:t>Внутренни</w:t>
      </w:r>
      <w:r w:rsidR="0005618F">
        <w:rPr>
          <w:rFonts w:ascii="Times New Roman" w:eastAsia="Calibri" w:hAnsi="Times New Roman" w:cs="Times New Roman"/>
          <w:color w:val="00000A"/>
          <w:sz w:val="28"/>
          <w:szCs w:val="28"/>
          <w:u w:val="single"/>
        </w:rPr>
        <w:t>х</w:t>
      </w:r>
      <w:r w:rsidRPr="001D3B97">
        <w:rPr>
          <w:rFonts w:ascii="Times New Roman" w:eastAsia="Calibri" w:hAnsi="Times New Roman" w:cs="Times New Roman"/>
          <w:color w:val="00000A"/>
          <w:sz w:val="28"/>
          <w:szCs w:val="28"/>
          <w:u w:val="single"/>
        </w:rPr>
        <w:t xml:space="preserve"> пользовател</w:t>
      </w:r>
      <w:r w:rsidR="0005618F">
        <w:rPr>
          <w:rFonts w:ascii="Times New Roman" w:eastAsia="Calibri" w:hAnsi="Times New Roman" w:cs="Times New Roman"/>
          <w:color w:val="00000A"/>
          <w:sz w:val="28"/>
          <w:szCs w:val="28"/>
          <w:u w:val="single"/>
        </w:rPr>
        <w:t>ей</w:t>
      </w:r>
    </w:p>
    <w:p w:rsidR="001D3B97" w:rsidRPr="001D3B97" w:rsidRDefault="001D3B97" w:rsidP="0082380A">
      <w:pPr>
        <w:tabs>
          <w:tab w:val="left" w:pos="284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1D3B97">
        <w:rPr>
          <w:rFonts w:ascii="Times New Roman" w:eastAsia="Calibri" w:hAnsi="Times New Roman" w:cs="Times New Roman"/>
          <w:color w:val="00000A"/>
          <w:sz w:val="28"/>
          <w:szCs w:val="28"/>
        </w:rPr>
        <w:lastRenderedPageBreak/>
        <w:t>г. Члены</w:t>
      </w:r>
    </w:p>
    <w:p w:rsidR="001D3B97" w:rsidRPr="001D3B97" w:rsidRDefault="001D3B97" w:rsidP="0082380A">
      <w:pPr>
        <w:tabs>
          <w:tab w:val="left" w:pos="2040"/>
        </w:tabs>
        <w:spacing w:after="0" w:line="360" w:lineRule="auto"/>
        <w:ind w:left="720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1D3B97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- как используются взносы, донорская помощь, гранты, суммы, вырученные по </w:t>
      </w:r>
      <w:proofErr w:type="spellStart"/>
      <w:r w:rsidRPr="001D3B97">
        <w:rPr>
          <w:rFonts w:ascii="Times New Roman" w:eastAsia="Calibri" w:hAnsi="Times New Roman" w:cs="Times New Roman"/>
          <w:color w:val="00000A"/>
          <w:sz w:val="28"/>
          <w:szCs w:val="28"/>
        </w:rPr>
        <w:t>фандрайзингу</w:t>
      </w:r>
      <w:proofErr w:type="spellEnd"/>
      <w:r w:rsidRPr="001D3B97">
        <w:rPr>
          <w:rFonts w:ascii="Times New Roman" w:eastAsia="Calibri" w:hAnsi="Times New Roman" w:cs="Times New Roman"/>
          <w:color w:val="00000A"/>
          <w:sz w:val="28"/>
          <w:szCs w:val="28"/>
        </w:rPr>
        <w:t>;</w:t>
      </w:r>
    </w:p>
    <w:p w:rsidR="001D3B97" w:rsidRPr="001D3B97" w:rsidRDefault="001D3B97" w:rsidP="0082380A">
      <w:pPr>
        <w:tabs>
          <w:tab w:val="left" w:pos="2040"/>
        </w:tabs>
        <w:spacing w:after="0" w:line="360" w:lineRule="auto"/>
        <w:ind w:left="720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1D3B97">
        <w:rPr>
          <w:rFonts w:ascii="Times New Roman" w:eastAsia="Calibri" w:hAnsi="Times New Roman" w:cs="Times New Roman"/>
          <w:color w:val="00000A"/>
          <w:sz w:val="28"/>
          <w:szCs w:val="28"/>
        </w:rPr>
        <w:t>- другая необходимая информация, такая как зарплата менеджеров, использование активов, эффективность менеджмента и другое;</w:t>
      </w:r>
    </w:p>
    <w:p w:rsidR="001D3B97" w:rsidRPr="001D3B97" w:rsidRDefault="001D3B97" w:rsidP="0082380A">
      <w:pPr>
        <w:tabs>
          <w:tab w:val="left" w:pos="284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1D3B97">
        <w:rPr>
          <w:rFonts w:ascii="Times New Roman" w:eastAsia="Calibri" w:hAnsi="Times New Roman" w:cs="Times New Roman"/>
          <w:color w:val="00000A"/>
          <w:sz w:val="28"/>
          <w:szCs w:val="28"/>
        </w:rPr>
        <w:t>д. Управляющие</w:t>
      </w:r>
    </w:p>
    <w:p w:rsidR="001D3B97" w:rsidRPr="001D3B97" w:rsidRDefault="00E626F2" w:rsidP="0082380A">
      <w:pPr>
        <w:tabs>
          <w:tab w:val="left" w:pos="284"/>
        </w:tabs>
        <w:spacing w:after="0" w:line="360" w:lineRule="auto"/>
        <w:ind w:left="709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>
        <w:rPr>
          <w:rFonts w:ascii="Times New Roman" w:eastAsia="Calibri" w:hAnsi="Times New Roman" w:cs="Times New Roman"/>
          <w:color w:val="00000A"/>
          <w:sz w:val="28"/>
          <w:szCs w:val="28"/>
        </w:rPr>
        <w:t>-</w:t>
      </w:r>
      <w:r w:rsidR="00316319">
        <w:rPr>
          <w:rFonts w:ascii="Times New Roman" w:eastAsia="Calibri" w:hAnsi="Times New Roman" w:cs="Times New Roman"/>
          <w:color w:val="00000A"/>
          <w:sz w:val="28"/>
          <w:szCs w:val="28"/>
        </w:rPr>
        <w:t>совет директоров/</w:t>
      </w:r>
      <w:r w:rsidR="001D3B97" w:rsidRPr="001D3B97">
        <w:rPr>
          <w:rFonts w:ascii="Times New Roman" w:eastAsia="Calibri" w:hAnsi="Times New Roman" w:cs="Times New Roman"/>
          <w:color w:val="00000A"/>
          <w:sz w:val="28"/>
          <w:szCs w:val="28"/>
        </w:rPr>
        <w:t>попечителей при выработке тактики, стратегических решений и в</w:t>
      </w:r>
      <w:r>
        <w:rPr>
          <w:rFonts w:ascii="Times New Roman" w:eastAsia="Calibri" w:hAnsi="Times New Roman" w:cs="Times New Roman"/>
          <w:color w:val="00000A"/>
          <w:sz w:val="28"/>
          <w:szCs w:val="28"/>
        </w:rPr>
        <w:t>ыполнение своей попечительской/</w:t>
      </w:r>
      <w:r w:rsidR="001D3B97" w:rsidRPr="001D3B97">
        <w:rPr>
          <w:rFonts w:ascii="Times New Roman" w:eastAsia="Calibri" w:hAnsi="Times New Roman" w:cs="Times New Roman"/>
          <w:color w:val="00000A"/>
          <w:sz w:val="28"/>
          <w:szCs w:val="28"/>
        </w:rPr>
        <w:t>управляющей роли;</w:t>
      </w:r>
    </w:p>
    <w:p w:rsidR="001D3B97" w:rsidRPr="001D3B97" w:rsidRDefault="001D3B97" w:rsidP="0082380A">
      <w:pPr>
        <w:tabs>
          <w:tab w:val="left" w:pos="284"/>
        </w:tabs>
        <w:spacing w:after="0" w:line="360" w:lineRule="auto"/>
        <w:ind w:left="709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1D3B97">
        <w:rPr>
          <w:rFonts w:ascii="Times New Roman" w:eastAsia="Calibri" w:hAnsi="Times New Roman" w:cs="Times New Roman"/>
          <w:color w:val="00000A"/>
          <w:sz w:val="28"/>
          <w:szCs w:val="28"/>
        </w:rPr>
        <w:t>- исполнительный директор при текущем управлении;</w:t>
      </w:r>
    </w:p>
    <w:p w:rsidR="001D3B97" w:rsidRPr="001D3B97" w:rsidRDefault="001D3B97" w:rsidP="0082380A">
      <w:pPr>
        <w:tabs>
          <w:tab w:val="left" w:pos="284"/>
        </w:tabs>
        <w:spacing w:after="0" w:line="360" w:lineRule="auto"/>
        <w:ind w:left="709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1D3B97">
        <w:rPr>
          <w:rFonts w:ascii="Times New Roman" w:eastAsia="Calibri" w:hAnsi="Times New Roman" w:cs="Times New Roman"/>
          <w:color w:val="00000A"/>
          <w:sz w:val="28"/>
          <w:szCs w:val="28"/>
        </w:rPr>
        <w:t>- менеджер программы/проекта при принятии связанных решений.</w:t>
      </w:r>
    </w:p>
    <w:p w:rsidR="001D3B97" w:rsidRPr="001D3B97" w:rsidRDefault="001D3B97" w:rsidP="0082380A">
      <w:pPr>
        <w:pStyle w:val="Standard"/>
        <w:tabs>
          <w:tab w:val="left" w:pos="9150"/>
        </w:tabs>
        <w:spacing w:line="36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1D3B97">
        <w:rPr>
          <w:rFonts w:eastAsia="Times New Roman" w:cs="Times New Roman"/>
          <w:sz w:val="28"/>
          <w:szCs w:val="28"/>
          <w:lang w:eastAsia="ru-RU"/>
        </w:rPr>
        <w:t>Обобщая их интересы в финансовой отчетности, можно утверждать, что наиболее важными могут стать три объект</w:t>
      </w:r>
      <w:r w:rsidR="00E626F2">
        <w:rPr>
          <w:rFonts w:eastAsia="Times New Roman" w:cs="Times New Roman"/>
          <w:sz w:val="28"/>
          <w:szCs w:val="28"/>
          <w:lang w:eastAsia="ru-RU"/>
        </w:rPr>
        <w:t>а</w:t>
      </w:r>
      <w:r w:rsidRPr="001D3B97">
        <w:rPr>
          <w:rFonts w:eastAsia="Times New Roman" w:cs="Times New Roman"/>
          <w:sz w:val="28"/>
          <w:szCs w:val="28"/>
          <w:lang w:eastAsia="ru-RU"/>
        </w:rPr>
        <w:t xml:space="preserve"> некоммерческого учета: целевые средства, активы и условные обязательства перед бенефициаром целевого проекта.</w:t>
      </w:r>
    </w:p>
    <w:p w:rsidR="001D3B97" w:rsidRPr="001D3B97" w:rsidRDefault="001D3B97" w:rsidP="0082380A">
      <w:pPr>
        <w:pStyle w:val="Standard"/>
        <w:numPr>
          <w:ilvl w:val="1"/>
          <w:numId w:val="4"/>
        </w:numPr>
        <w:tabs>
          <w:tab w:val="left" w:pos="9150"/>
        </w:tabs>
        <w:spacing w:line="36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1D3B97">
        <w:rPr>
          <w:rFonts w:eastAsia="Times New Roman" w:cs="Times New Roman"/>
          <w:sz w:val="28"/>
          <w:szCs w:val="28"/>
          <w:lang w:eastAsia="ru-RU"/>
        </w:rPr>
        <w:t>Целевые средства.</w:t>
      </w:r>
    </w:p>
    <w:p w:rsidR="001D3B97" w:rsidRPr="001D3B97" w:rsidRDefault="001D3B97" w:rsidP="0082380A">
      <w:pPr>
        <w:pStyle w:val="Standard"/>
        <w:tabs>
          <w:tab w:val="left" w:pos="9150"/>
        </w:tabs>
        <w:spacing w:line="36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1D3B97">
        <w:rPr>
          <w:rFonts w:eastAsia="Times New Roman" w:cs="Times New Roman"/>
          <w:sz w:val="28"/>
          <w:szCs w:val="28"/>
          <w:lang w:eastAsia="ru-RU"/>
        </w:rPr>
        <w:t xml:space="preserve">Современные нормативные акты в сфере регулирования источников финансирования НКО дают полную картину, которая, тем не менее, остаётся </w:t>
      </w:r>
      <w:proofErr w:type="spellStart"/>
      <w:r w:rsidRPr="001D3B97">
        <w:rPr>
          <w:rFonts w:eastAsia="Times New Roman" w:cs="Times New Roman"/>
          <w:sz w:val="28"/>
          <w:szCs w:val="28"/>
          <w:lang w:eastAsia="ru-RU"/>
        </w:rPr>
        <w:t>пазлом</w:t>
      </w:r>
      <w:proofErr w:type="spellEnd"/>
      <w:r w:rsidRPr="001D3B97">
        <w:rPr>
          <w:rFonts w:eastAsia="Times New Roman" w:cs="Times New Roman"/>
          <w:sz w:val="28"/>
          <w:szCs w:val="28"/>
          <w:lang w:eastAsia="ru-RU"/>
        </w:rPr>
        <w:t xml:space="preserve">. Более целостным является гражданско-правовой кусок, охватывающий наиболее общие вопросы передачи имущества (в том числе денежных средств и продуктов интеллектуального труда) донорами НКО: пожертвование, дарение. Вполне детально проработан этот вопрос в налоговом законодательстве (ст. 251 НК РФ): целевое финансирование и целевые поступления. Но совершенно обособленным остаётся целевой капитал, спонсорская помощь и участие в деятельности. </w:t>
      </w:r>
    </w:p>
    <w:p w:rsidR="001D3B97" w:rsidRPr="001D3B97" w:rsidRDefault="001D3B97" w:rsidP="0082380A">
      <w:pPr>
        <w:pStyle w:val="Standard"/>
        <w:numPr>
          <w:ilvl w:val="1"/>
          <w:numId w:val="4"/>
        </w:numPr>
        <w:tabs>
          <w:tab w:val="left" w:pos="9150"/>
        </w:tabs>
        <w:spacing w:line="36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1D3B97">
        <w:rPr>
          <w:rFonts w:eastAsia="Times New Roman" w:cs="Times New Roman"/>
          <w:sz w:val="28"/>
          <w:szCs w:val="28"/>
          <w:lang w:eastAsia="ru-RU"/>
        </w:rPr>
        <w:t>Активы</w:t>
      </w:r>
    </w:p>
    <w:p w:rsidR="001D3B97" w:rsidRPr="001D3B97" w:rsidRDefault="001D3B97" w:rsidP="0082380A">
      <w:pPr>
        <w:pStyle w:val="Standard"/>
        <w:tabs>
          <w:tab w:val="left" w:pos="9150"/>
        </w:tabs>
        <w:spacing w:line="36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1D3B97">
        <w:rPr>
          <w:rFonts w:eastAsia="Times New Roman" w:cs="Times New Roman"/>
          <w:sz w:val="28"/>
          <w:szCs w:val="28"/>
          <w:lang w:eastAsia="ru-RU"/>
        </w:rPr>
        <w:t>Имущества и имущественные права НКО привязаны не к производственному циклу, а к реализуемой программе. С этой позиции они</w:t>
      </w:r>
      <w:r w:rsidR="00421801">
        <w:rPr>
          <w:rFonts w:eastAsia="Times New Roman" w:cs="Times New Roman"/>
          <w:sz w:val="28"/>
          <w:szCs w:val="28"/>
          <w:lang w:eastAsia="ru-RU"/>
        </w:rPr>
        <w:t>,</w:t>
      </w:r>
      <w:r w:rsidRPr="001D3B97">
        <w:rPr>
          <w:rFonts w:eastAsia="Times New Roman" w:cs="Times New Roman"/>
          <w:sz w:val="28"/>
          <w:szCs w:val="28"/>
          <w:lang w:eastAsia="ru-RU"/>
        </w:rPr>
        <w:t xml:space="preserve"> скорее</w:t>
      </w:r>
      <w:r w:rsidR="00421801">
        <w:rPr>
          <w:rFonts w:eastAsia="Times New Roman" w:cs="Times New Roman"/>
          <w:sz w:val="28"/>
          <w:szCs w:val="28"/>
          <w:lang w:eastAsia="ru-RU"/>
        </w:rPr>
        <w:t>,</w:t>
      </w:r>
      <w:r w:rsidRPr="001D3B97">
        <w:rPr>
          <w:rFonts w:eastAsia="Times New Roman" w:cs="Times New Roman"/>
          <w:sz w:val="28"/>
          <w:szCs w:val="28"/>
          <w:lang w:eastAsia="ru-RU"/>
        </w:rPr>
        <w:t xml:space="preserve"> участвующие в одной, нескольких программах и свободные, чем оборотные и </w:t>
      </w:r>
      <w:proofErr w:type="spellStart"/>
      <w:r w:rsidRPr="001D3B97">
        <w:rPr>
          <w:rFonts w:eastAsia="Times New Roman" w:cs="Times New Roman"/>
          <w:sz w:val="28"/>
          <w:szCs w:val="28"/>
          <w:lang w:eastAsia="ru-RU"/>
        </w:rPr>
        <w:t>внеоборотные</w:t>
      </w:r>
      <w:proofErr w:type="spellEnd"/>
      <w:r w:rsidRPr="001D3B97">
        <w:rPr>
          <w:rFonts w:eastAsia="Times New Roman" w:cs="Times New Roman"/>
          <w:sz w:val="28"/>
          <w:szCs w:val="28"/>
          <w:lang w:eastAsia="ru-RU"/>
        </w:rPr>
        <w:t>.</w:t>
      </w:r>
    </w:p>
    <w:p w:rsidR="001D3B97" w:rsidRPr="001D3B97" w:rsidRDefault="001D3B97" w:rsidP="0082380A">
      <w:pPr>
        <w:pStyle w:val="Standard"/>
        <w:numPr>
          <w:ilvl w:val="1"/>
          <w:numId w:val="4"/>
        </w:numPr>
        <w:tabs>
          <w:tab w:val="left" w:pos="9150"/>
        </w:tabs>
        <w:spacing w:line="36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1D3B97">
        <w:rPr>
          <w:rFonts w:eastAsia="Times New Roman" w:cs="Times New Roman"/>
          <w:sz w:val="28"/>
          <w:szCs w:val="28"/>
          <w:lang w:eastAsia="ru-RU"/>
        </w:rPr>
        <w:t>Условные обязательства перед бенефициаром целевого проекта.</w:t>
      </w:r>
    </w:p>
    <w:p w:rsidR="001D3B97" w:rsidRPr="001D3B97" w:rsidRDefault="001D3B97" w:rsidP="0082380A">
      <w:pPr>
        <w:pStyle w:val="Standard"/>
        <w:tabs>
          <w:tab w:val="left" w:pos="9150"/>
        </w:tabs>
        <w:spacing w:line="36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1D3B97">
        <w:rPr>
          <w:rFonts w:eastAsia="Times New Roman" w:cs="Times New Roman"/>
          <w:sz w:val="28"/>
          <w:szCs w:val="28"/>
          <w:lang w:eastAsia="ru-RU"/>
        </w:rPr>
        <w:lastRenderedPageBreak/>
        <w:t>Условные обязательства вообще достаточно новый термин для российской экономики. Тем не менее, мы предлагаем пойти дальше и ввести термин «условные обязательства перед бенефициарами целевого проекта».</w:t>
      </w:r>
    </w:p>
    <w:p w:rsidR="001D3B97" w:rsidRPr="001D3B97" w:rsidRDefault="001D3B97" w:rsidP="0082380A">
      <w:pPr>
        <w:pStyle w:val="Standard"/>
        <w:tabs>
          <w:tab w:val="left" w:pos="9150"/>
        </w:tabs>
        <w:spacing w:line="36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1D3B97">
        <w:rPr>
          <w:rFonts w:eastAsia="Times New Roman" w:cs="Times New Roman"/>
          <w:sz w:val="28"/>
          <w:szCs w:val="28"/>
          <w:lang w:eastAsia="ru-RU"/>
        </w:rPr>
        <w:t>На наш взгляд баланс этих трёх элементов максимально наглядно отражает состояние реализации целевого проекта НКО.</w:t>
      </w:r>
    </w:p>
    <w:p w:rsidR="001D3B97" w:rsidRPr="001D3B97" w:rsidRDefault="001D3B97" w:rsidP="0082380A">
      <w:pPr>
        <w:pStyle w:val="Standard"/>
        <w:tabs>
          <w:tab w:val="left" w:pos="9150"/>
        </w:tabs>
        <w:spacing w:line="36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D3B97" w:rsidRPr="001D3B97" w:rsidRDefault="001D3B97" w:rsidP="0082380A">
      <w:pPr>
        <w:pStyle w:val="Standard"/>
        <w:tabs>
          <w:tab w:val="left" w:pos="9150"/>
        </w:tabs>
        <w:spacing w:line="360" w:lineRule="auto"/>
        <w:ind w:firstLine="720"/>
        <w:jc w:val="right"/>
        <w:rPr>
          <w:rFonts w:eastAsia="Times New Roman" w:cs="Times New Roman"/>
          <w:sz w:val="28"/>
          <w:szCs w:val="28"/>
          <w:lang w:eastAsia="ru-RU"/>
        </w:rPr>
      </w:pPr>
      <w:r w:rsidRPr="001D3B97">
        <w:rPr>
          <w:rFonts w:eastAsia="Times New Roman" w:cs="Times New Roman"/>
          <w:i/>
          <w:sz w:val="28"/>
          <w:szCs w:val="28"/>
          <w:lang w:eastAsia="ru-RU"/>
        </w:rPr>
        <w:t>Рис. Баланс целевого проекта НКО</w:t>
      </w:r>
    </w:p>
    <w:tbl>
      <w:tblPr>
        <w:tblStyle w:val="a8"/>
        <w:tblW w:w="0" w:type="auto"/>
        <w:tblInd w:w="1584" w:type="dxa"/>
        <w:tblLook w:val="04A0"/>
      </w:tblPr>
      <w:tblGrid>
        <w:gridCol w:w="3085"/>
        <w:gridCol w:w="3944"/>
      </w:tblGrid>
      <w:tr w:rsidR="001D3B97" w:rsidRPr="001D3B97" w:rsidTr="003A3B38">
        <w:tc>
          <w:tcPr>
            <w:tcW w:w="3085" w:type="dxa"/>
          </w:tcPr>
          <w:p w:rsidR="001D3B97" w:rsidRPr="001D3B97" w:rsidRDefault="001D3B97" w:rsidP="0082380A">
            <w:pPr>
              <w:pStyle w:val="Standard"/>
              <w:tabs>
                <w:tab w:val="left" w:pos="9150"/>
              </w:tabs>
              <w:spacing w:line="36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D3B97">
              <w:rPr>
                <w:rFonts w:eastAsia="Times New Roman" w:cs="Times New Roman"/>
                <w:sz w:val="28"/>
                <w:szCs w:val="28"/>
                <w:lang w:eastAsia="ru-RU"/>
              </w:rPr>
              <w:t>АКТИВ</w:t>
            </w:r>
          </w:p>
        </w:tc>
        <w:tc>
          <w:tcPr>
            <w:tcW w:w="3944" w:type="dxa"/>
          </w:tcPr>
          <w:p w:rsidR="001D3B97" w:rsidRPr="001D3B97" w:rsidRDefault="001D3B97" w:rsidP="0082380A">
            <w:pPr>
              <w:pStyle w:val="Standard"/>
              <w:tabs>
                <w:tab w:val="left" w:pos="9150"/>
              </w:tabs>
              <w:spacing w:line="36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D3B97">
              <w:rPr>
                <w:rFonts w:eastAsia="Times New Roman" w:cs="Times New Roman"/>
                <w:sz w:val="28"/>
                <w:szCs w:val="28"/>
                <w:lang w:eastAsia="ru-RU"/>
              </w:rPr>
              <w:t>ПАССИВ</w:t>
            </w:r>
          </w:p>
        </w:tc>
      </w:tr>
      <w:tr w:rsidR="001D3B97" w:rsidRPr="001D3B97" w:rsidTr="003A3B38">
        <w:tc>
          <w:tcPr>
            <w:tcW w:w="3085" w:type="dxa"/>
          </w:tcPr>
          <w:p w:rsidR="001D3B97" w:rsidRPr="001D3B97" w:rsidRDefault="001D3B97" w:rsidP="0082380A">
            <w:pPr>
              <w:pStyle w:val="Standard"/>
              <w:tabs>
                <w:tab w:val="left" w:pos="9150"/>
              </w:tabs>
              <w:spacing w:line="36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D3B97">
              <w:rPr>
                <w:rFonts w:eastAsia="Times New Roman" w:cs="Times New Roman"/>
                <w:sz w:val="28"/>
                <w:szCs w:val="28"/>
                <w:lang w:eastAsia="ru-RU"/>
              </w:rPr>
              <w:t>Кросс-проектные</w:t>
            </w:r>
            <w:proofErr w:type="gramEnd"/>
          </w:p>
        </w:tc>
        <w:tc>
          <w:tcPr>
            <w:tcW w:w="3944" w:type="dxa"/>
          </w:tcPr>
          <w:p w:rsidR="001D3B97" w:rsidRPr="001D3B97" w:rsidRDefault="001D3B97" w:rsidP="0082380A">
            <w:pPr>
              <w:pStyle w:val="Standard"/>
              <w:tabs>
                <w:tab w:val="left" w:pos="9150"/>
              </w:tabs>
              <w:spacing w:line="36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D3B97">
              <w:rPr>
                <w:rFonts w:eastAsia="Times New Roman" w:cs="Times New Roman"/>
                <w:sz w:val="28"/>
                <w:szCs w:val="28"/>
                <w:lang w:eastAsia="ru-RU"/>
              </w:rPr>
              <w:t>Целевые средства</w:t>
            </w:r>
          </w:p>
        </w:tc>
      </w:tr>
      <w:tr w:rsidR="001D3B97" w:rsidRPr="001D3B97" w:rsidTr="003A3B38">
        <w:tc>
          <w:tcPr>
            <w:tcW w:w="3085" w:type="dxa"/>
          </w:tcPr>
          <w:p w:rsidR="001D3B97" w:rsidRPr="001D3B97" w:rsidRDefault="001D3B97" w:rsidP="0082380A">
            <w:pPr>
              <w:pStyle w:val="Standard"/>
              <w:tabs>
                <w:tab w:val="left" w:pos="9150"/>
              </w:tabs>
              <w:spacing w:line="36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D3B97">
              <w:rPr>
                <w:rFonts w:eastAsia="Times New Roman" w:cs="Times New Roman"/>
                <w:sz w:val="28"/>
                <w:szCs w:val="28"/>
                <w:lang w:eastAsia="ru-RU"/>
              </w:rPr>
              <w:t>Моно-проектные</w:t>
            </w:r>
          </w:p>
        </w:tc>
        <w:tc>
          <w:tcPr>
            <w:tcW w:w="3944" w:type="dxa"/>
            <w:vMerge w:val="restart"/>
          </w:tcPr>
          <w:p w:rsidR="001D3B97" w:rsidRPr="001D3B97" w:rsidRDefault="001D3B97" w:rsidP="0082380A">
            <w:pPr>
              <w:pStyle w:val="Standard"/>
              <w:tabs>
                <w:tab w:val="left" w:pos="9150"/>
              </w:tabs>
              <w:spacing w:line="36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D3B97">
              <w:rPr>
                <w:rFonts w:eastAsia="Times New Roman" w:cs="Times New Roman"/>
                <w:sz w:val="28"/>
                <w:szCs w:val="28"/>
                <w:lang w:eastAsia="ru-RU"/>
              </w:rPr>
              <w:t>Условные обязательства:</w:t>
            </w:r>
          </w:p>
          <w:p w:rsidR="001D3B97" w:rsidRPr="001D3B97" w:rsidRDefault="001D3B97" w:rsidP="0082380A">
            <w:pPr>
              <w:pStyle w:val="Standard"/>
              <w:tabs>
                <w:tab w:val="left" w:pos="9150"/>
              </w:tabs>
              <w:spacing w:line="36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D3B97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gramStart"/>
            <w:r w:rsidRPr="001D3B97">
              <w:rPr>
                <w:rFonts w:eastAsia="Times New Roman" w:cs="Times New Roman"/>
                <w:sz w:val="28"/>
                <w:szCs w:val="28"/>
                <w:lang w:eastAsia="ru-RU"/>
              </w:rPr>
              <w:t>кратко-срочные</w:t>
            </w:r>
            <w:proofErr w:type="gramEnd"/>
            <w:r w:rsidRPr="001D3B97">
              <w:rPr>
                <w:rFonts w:eastAsia="Times New Roman" w:cs="Times New Roman"/>
                <w:sz w:val="28"/>
                <w:szCs w:val="28"/>
                <w:lang w:eastAsia="ru-RU"/>
              </w:rPr>
              <w:t>,</w:t>
            </w:r>
          </w:p>
          <w:p w:rsidR="001D3B97" w:rsidRPr="001D3B97" w:rsidRDefault="001D3B97" w:rsidP="0082380A">
            <w:pPr>
              <w:pStyle w:val="Standard"/>
              <w:tabs>
                <w:tab w:val="left" w:pos="9150"/>
              </w:tabs>
              <w:spacing w:line="36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D3B97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gramStart"/>
            <w:r w:rsidRPr="001D3B97">
              <w:rPr>
                <w:rFonts w:eastAsia="Times New Roman" w:cs="Times New Roman"/>
                <w:sz w:val="28"/>
                <w:szCs w:val="28"/>
                <w:lang w:eastAsia="ru-RU"/>
              </w:rPr>
              <w:t>долго-срочные</w:t>
            </w:r>
            <w:proofErr w:type="gramEnd"/>
            <w:r w:rsidRPr="001D3B97">
              <w:rPr>
                <w:rFonts w:eastAsia="Times New Roman" w:cs="Times New Roman"/>
                <w:sz w:val="28"/>
                <w:szCs w:val="28"/>
                <w:lang w:eastAsia="ru-RU"/>
              </w:rPr>
              <w:t>,</w:t>
            </w:r>
          </w:p>
          <w:p w:rsidR="001D3B97" w:rsidRPr="001D3B97" w:rsidRDefault="001D3B97" w:rsidP="0082380A">
            <w:pPr>
              <w:pStyle w:val="Standard"/>
              <w:tabs>
                <w:tab w:val="left" w:pos="9150"/>
              </w:tabs>
              <w:spacing w:line="36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D3B97">
              <w:rPr>
                <w:rFonts w:eastAsia="Times New Roman" w:cs="Times New Roman"/>
                <w:sz w:val="28"/>
                <w:szCs w:val="28"/>
                <w:lang w:eastAsia="ru-RU"/>
              </w:rPr>
              <w:t>- кредиторская задолженность</w:t>
            </w:r>
          </w:p>
        </w:tc>
      </w:tr>
      <w:tr w:rsidR="001D3B97" w:rsidRPr="001D3B97" w:rsidTr="003A3B38">
        <w:tc>
          <w:tcPr>
            <w:tcW w:w="3085" w:type="dxa"/>
          </w:tcPr>
          <w:p w:rsidR="001D3B97" w:rsidRPr="001D3B97" w:rsidRDefault="001D3B97" w:rsidP="0082380A">
            <w:pPr>
              <w:pStyle w:val="Standard"/>
              <w:tabs>
                <w:tab w:val="left" w:pos="9150"/>
              </w:tabs>
              <w:spacing w:line="36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D3B97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Свободные </w:t>
            </w:r>
          </w:p>
        </w:tc>
        <w:tc>
          <w:tcPr>
            <w:tcW w:w="3944" w:type="dxa"/>
            <w:vMerge/>
          </w:tcPr>
          <w:p w:rsidR="001D3B97" w:rsidRPr="001D3B97" w:rsidRDefault="001D3B97" w:rsidP="0082380A">
            <w:pPr>
              <w:pStyle w:val="Standard"/>
              <w:tabs>
                <w:tab w:val="left" w:pos="9150"/>
              </w:tabs>
              <w:spacing w:line="36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D3B97" w:rsidRPr="001D3B97" w:rsidRDefault="001D3B97" w:rsidP="0082380A">
      <w:pPr>
        <w:pStyle w:val="Standard"/>
        <w:tabs>
          <w:tab w:val="left" w:pos="9150"/>
        </w:tabs>
        <w:spacing w:line="360" w:lineRule="auto"/>
        <w:ind w:firstLine="720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D3B97" w:rsidRPr="001D3B97" w:rsidRDefault="001D3B97" w:rsidP="0082380A">
      <w:pPr>
        <w:pStyle w:val="Standard"/>
        <w:tabs>
          <w:tab w:val="left" w:pos="9150"/>
        </w:tabs>
        <w:spacing w:line="360" w:lineRule="auto"/>
        <w:ind w:firstLine="720"/>
        <w:jc w:val="both"/>
        <w:rPr>
          <w:rFonts w:eastAsia="Calibri" w:cs="Times New Roman"/>
          <w:color w:val="00000A"/>
          <w:sz w:val="28"/>
          <w:szCs w:val="28"/>
        </w:rPr>
      </w:pPr>
      <w:r w:rsidRPr="001D3B97">
        <w:rPr>
          <w:rFonts w:eastAsia="Times New Roman" w:cs="Times New Roman"/>
          <w:sz w:val="28"/>
          <w:szCs w:val="28"/>
          <w:lang w:eastAsia="ru-RU"/>
        </w:rPr>
        <w:t>И так, публикуя бюджет социального проекта, НКО признаёт условные обязательства перед бенефициарами этого проекта (положительная величина в пассиве) и требуемую величин</w:t>
      </w:r>
      <w:r w:rsidR="0080342A">
        <w:rPr>
          <w:rFonts w:eastAsia="Times New Roman" w:cs="Times New Roman"/>
          <w:sz w:val="28"/>
          <w:szCs w:val="28"/>
          <w:lang w:eastAsia="ru-RU"/>
        </w:rPr>
        <w:t>у</w:t>
      </w:r>
      <w:r w:rsidRPr="001D3B97">
        <w:rPr>
          <w:rFonts w:eastAsia="Times New Roman" w:cs="Times New Roman"/>
          <w:sz w:val="28"/>
          <w:szCs w:val="28"/>
          <w:lang w:eastAsia="ru-RU"/>
        </w:rPr>
        <w:t xml:space="preserve"> целевого финансирования (отрицательная величина в пассиве). Так как реальной деятельности не осуществлялось, а произошло лишь юридическое оформление положения субъектов целевого проекта относительно друг друга, то и валюта баланса</w:t>
      </w:r>
      <w:r w:rsidR="0080342A">
        <w:rPr>
          <w:rFonts w:eastAsia="Times New Roman" w:cs="Times New Roman"/>
          <w:sz w:val="28"/>
          <w:szCs w:val="28"/>
          <w:lang w:eastAsia="ru-RU"/>
        </w:rPr>
        <w:t xml:space="preserve"> — </w:t>
      </w:r>
      <w:r w:rsidRPr="001D3B97">
        <w:rPr>
          <w:rFonts w:eastAsia="Times New Roman" w:cs="Times New Roman"/>
          <w:sz w:val="28"/>
          <w:szCs w:val="28"/>
          <w:lang w:eastAsia="ru-RU"/>
        </w:rPr>
        <w:t>ноль. В дальнейшем получение целевого финансирования балансируется ростом активов, а погашение условных обязательств</w:t>
      </w:r>
      <w:r w:rsidR="0080342A">
        <w:rPr>
          <w:rFonts w:eastAsia="Times New Roman" w:cs="Times New Roman"/>
          <w:sz w:val="28"/>
          <w:szCs w:val="28"/>
          <w:lang w:eastAsia="ru-RU"/>
        </w:rPr>
        <w:t xml:space="preserve"> — </w:t>
      </w:r>
      <w:r w:rsidRPr="001D3B97">
        <w:rPr>
          <w:rFonts w:eastAsia="Times New Roman" w:cs="Times New Roman"/>
          <w:sz w:val="28"/>
          <w:szCs w:val="28"/>
          <w:lang w:eastAsia="ru-RU"/>
        </w:rPr>
        <w:t>расходованием.  Соответственно, непроектные расходы уменьшают целевые средства, не изменяя условные обязательства. Что</w:t>
      </w:r>
      <w:r w:rsidR="0080342A">
        <w:rPr>
          <w:rFonts w:eastAsia="Times New Roman" w:cs="Times New Roman"/>
          <w:sz w:val="28"/>
          <w:szCs w:val="28"/>
          <w:lang w:eastAsia="ru-RU"/>
        </w:rPr>
        <w:t>,</w:t>
      </w:r>
      <w:r w:rsidRPr="001D3B97">
        <w:rPr>
          <w:rFonts w:eastAsia="Times New Roman" w:cs="Times New Roman"/>
          <w:sz w:val="28"/>
          <w:szCs w:val="28"/>
          <w:lang w:eastAsia="ru-RU"/>
        </w:rPr>
        <w:t xml:space="preserve"> в свою очередь</w:t>
      </w:r>
      <w:r w:rsidR="0080342A">
        <w:rPr>
          <w:rFonts w:eastAsia="Times New Roman" w:cs="Times New Roman"/>
          <w:sz w:val="28"/>
          <w:szCs w:val="28"/>
          <w:lang w:eastAsia="ru-RU"/>
        </w:rPr>
        <w:t>,</w:t>
      </w:r>
      <w:r w:rsidRPr="001D3B97">
        <w:rPr>
          <w:rFonts w:eastAsia="Times New Roman" w:cs="Times New Roman"/>
          <w:sz w:val="28"/>
          <w:szCs w:val="28"/>
          <w:lang w:eastAsia="ru-RU"/>
        </w:rPr>
        <w:t xml:space="preserve"> повышает значимость отчета о деятельности НКО по форме ОН000х и пояснительной записки, а так же способа обобщения целевых средств.</w:t>
      </w:r>
    </w:p>
    <w:sectPr w:rsidR="001D3B97" w:rsidRPr="001D3B97" w:rsidSect="007538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3B38" w:rsidRDefault="003A3B38" w:rsidP="00A97402">
      <w:pPr>
        <w:spacing w:after="0" w:line="240" w:lineRule="auto"/>
      </w:pPr>
      <w:r>
        <w:separator/>
      </w:r>
    </w:p>
  </w:endnote>
  <w:endnote w:type="continuationSeparator" w:id="1">
    <w:p w:rsidR="003A3B38" w:rsidRDefault="003A3B38" w:rsidP="00A974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3B38" w:rsidRDefault="003A3B38" w:rsidP="00A97402">
      <w:pPr>
        <w:spacing w:after="0" w:line="240" w:lineRule="auto"/>
      </w:pPr>
      <w:r>
        <w:separator/>
      </w:r>
    </w:p>
  </w:footnote>
  <w:footnote w:type="continuationSeparator" w:id="1">
    <w:p w:rsidR="003A3B38" w:rsidRDefault="003A3B38" w:rsidP="00A97402">
      <w:pPr>
        <w:spacing w:after="0" w:line="240" w:lineRule="auto"/>
      </w:pPr>
      <w:r>
        <w:continuationSeparator/>
      </w:r>
    </w:p>
  </w:footnote>
  <w:footnote w:id="2">
    <w:p w:rsidR="003A3B38" w:rsidRPr="00A928C4" w:rsidRDefault="003A3B38">
      <w:pPr>
        <w:pStyle w:val="a5"/>
        <w:rPr>
          <w:lang w:val="en-US"/>
        </w:rPr>
      </w:pPr>
      <w:r>
        <w:rPr>
          <w:rStyle w:val="a4"/>
        </w:rPr>
        <w:footnoteRef/>
      </w:r>
      <w:r w:rsidRPr="004F65C4">
        <w:rPr>
          <w:rFonts w:cs="Times New Roman"/>
          <w:lang w:val="en-US"/>
        </w:rPr>
        <w:t>«Non-Profit Sector Accounting: Issues and Recommendations» from Asia Pacific Societies, 2006</w:t>
      </w:r>
      <w:r w:rsidRPr="00010904">
        <w:rPr>
          <w:rFonts w:cs="Times New Roman"/>
          <w:lang w:val="en-US"/>
        </w:rPr>
        <w:t xml:space="preserve">, </w:t>
      </w:r>
      <w:r>
        <w:rPr>
          <w:rFonts w:cs="Times New Roman"/>
        </w:rPr>
        <w:t>с</w:t>
      </w:r>
      <w:r>
        <w:rPr>
          <w:rFonts w:cs="Times New Roman"/>
          <w:lang w:val="en-US"/>
        </w:rPr>
        <w:t xml:space="preserve">. </w:t>
      </w:r>
      <w:r w:rsidRPr="00A928C4">
        <w:rPr>
          <w:rFonts w:cs="Times New Roman"/>
          <w:lang w:val="en-US"/>
        </w:rPr>
        <w:t>14</w:t>
      </w:r>
    </w:p>
  </w:footnote>
  <w:footnote w:id="3">
    <w:p w:rsidR="003A3B38" w:rsidRPr="00FD34D3" w:rsidRDefault="003A3B38" w:rsidP="00A97402">
      <w:pPr>
        <w:pStyle w:val="a3"/>
        <w:widowControl w:val="0"/>
        <w:spacing w:before="0" w:beforeAutospacing="0" w:after="0" w:line="360" w:lineRule="auto"/>
        <w:ind w:firstLine="709"/>
        <w:jc w:val="both"/>
        <w:rPr>
          <w:sz w:val="20"/>
          <w:szCs w:val="20"/>
        </w:rPr>
      </w:pPr>
      <w:r>
        <w:rPr>
          <w:rStyle w:val="a4"/>
        </w:rPr>
        <w:footnoteRef/>
      </w:r>
      <w:r w:rsidRPr="00FD34D3">
        <w:rPr>
          <w:sz w:val="20"/>
          <w:szCs w:val="20"/>
        </w:rPr>
        <w:t>В институциональной теории термин «рутина» (</w:t>
      </w:r>
      <w:proofErr w:type="spellStart"/>
      <w:r w:rsidRPr="00FD34D3">
        <w:rPr>
          <w:sz w:val="20"/>
          <w:szCs w:val="20"/>
          <w:lang w:val="en-US"/>
        </w:rPr>
        <w:t>routina</w:t>
      </w:r>
      <w:proofErr w:type="spellEnd"/>
      <w:r w:rsidRPr="00FD34D3">
        <w:rPr>
          <w:sz w:val="20"/>
          <w:szCs w:val="20"/>
        </w:rPr>
        <w:t>) используется применительно к организации, фирме для обозначения нормальных и предсказуемых образцов поведения. Термин «</w:t>
      </w:r>
      <w:proofErr w:type="spellStart"/>
      <w:r w:rsidRPr="00FD34D3">
        <w:rPr>
          <w:sz w:val="20"/>
          <w:szCs w:val="20"/>
        </w:rPr>
        <w:t>хебитус</w:t>
      </w:r>
      <w:proofErr w:type="spellEnd"/>
      <w:r w:rsidRPr="00FD34D3">
        <w:rPr>
          <w:sz w:val="20"/>
          <w:szCs w:val="20"/>
        </w:rPr>
        <w:t>» (</w:t>
      </w:r>
      <w:proofErr w:type="spellStart"/>
      <w:r w:rsidRPr="00FD34D3">
        <w:rPr>
          <w:sz w:val="20"/>
          <w:szCs w:val="20"/>
          <w:lang w:val="en-US"/>
        </w:rPr>
        <w:t>hebitus</w:t>
      </w:r>
      <w:proofErr w:type="spellEnd"/>
      <w:r w:rsidRPr="00FD34D3">
        <w:rPr>
          <w:sz w:val="20"/>
          <w:szCs w:val="20"/>
        </w:rPr>
        <w:t>) обозначает совокупность форм поведения индивида, закреплённых в виде привычек, претерпевающих изменения в процессе социализации.</w:t>
      </w:r>
    </w:p>
    <w:p w:rsidR="003A3B38" w:rsidRDefault="003A3B38" w:rsidP="00A97402">
      <w:pPr>
        <w:pStyle w:val="a5"/>
      </w:pPr>
    </w:p>
  </w:footnote>
  <w:footnote w:id="4">
    <w:p w:rsidR="003A3B38" w:rsidRDefault="003A3B38" w:rsidP="00C33320">
      <w:pPr>
        <w:pStyle w:val="ConsPlusNormal"/>
        <w:tabs>
          <w:tab w:val="left" w:pos="2543"/>
          <w:tab w:val="left" w:pos="3352"/>
        </w:tabs>
        <w:spacing w:line="200" w:lineRule="atLeast"/>
        <w:ind w:firstLine="0"/>
        <w:jc w:val="both"/>
      </w:pPr>
      <w:r>
        <w:rPr>
          <w:rStyle w:val="a4"/>
        </w:rPr>
        <w:footnoteRef/>
      </w:r>
      <w:r w:rsidRPr="00C33320">
        <w:rPr>
          <w:rFonts w:ascii="Times New Roman" w:eastAsia="Times New Roman" w:hAnsi="Times New Roman" w:cs="Times New Roman"/>
          <w:color w:val="000000"/>
          <w:lang w:eastAsia="hi-IN" w:bidi="hi-IN"/>
        </w:rPr>
        <w:t>Институциональная экономика: Учеб. пособие</w:t>
      </w:r>
      <w:proofErr w:type="gramStart"/>
      <w:r w:rsidRPr="00C33320">
        <w:rPr>
          <w:rFonts w:ascii="Times New Roman" w:eastAsia="Times New Roman" w:hAnsi="Times New Roman" w:cs="Times New Roman"/>
          <w:color w:val="000000"/>
          <w:lang w:eastAsia="hi-IN" w:bidi="hi-IN"/>
        </w:rPr>
        <w:t xml:space="preserve"> / П</w:t>
      </w:r>
      <w:proofErr w:type="gramEnd"/>
      <w:r w:rsidRPr="00C33320">
        <w:rPr>
          <w:rFonts w:ascii="Times New Roman" w:eastAsia="Times New Roman" w:hAnsi="Times New Roman" w:cs="Times New Roman"/>
          <w:color w:val="000000"/>
          <w:lang w:eastAsia="hi-IN" w:bidi="hi-IN"/>
        </w:rPr>
        <w:t xml:space="preserve">од рук. Акад. </w:t>
      </w:r>
      <w:r w:rsidRPr="00C33320">
        <w:rPr>
          <w:rFonts w:ascii="Times New Roman" w:eastAsia="Times New Roman" w:hAnsi="Times New Roman" w:cs="Times New Roman"/>
          <w:lang w:eastAsia="hi-IN" w:bidi="hi-IN"/>
        </w:rPr>
        <w:t>Д. С. Львова. — М.: ИНФРА-М, 2001. — 318 с. — (Серия «Высшее образование»)</w:t>
      </w:r>
      <w:r>
        <w:rPr>
          <w:rFonts w:ascii="Times New Roman" w:eastAsia="Times New Roman" w:hAnsi="Times New Roman" w:cs="Times New Roman"/>
          <w:lang w:eastAsia="hi-IN" w:bidi="hi-IN"/>
        </w:rPr>
        <w:t>, с. 38</w:t>
      </w:r>
    </w:p>
  </w:footnote>
  <w:footnote w:id="5">
    <w:p w:rsidR="003A3B38" w:rsidRDefault="003A3B38" w:rsidP="00D109EF">
      <w:pPr>
        <w:pStyle w:val="a5"/>
        <w:jc w:val="both"/>
      </w:pPr>
      <w:r>
        <w:rPr>
          <w:rStyle w:val="a4"/>
        </w:rPr>
        <w:footnoteRef/>
      </w:r>
      <w:r>
        <w:t xml:space="preserve"> Условное ограничение блага – перманентный признак экономического блага, т.к. оно ограничено относительно определенного условия. Например, производственное объединение слепых с позиции рабочей силы ограниченный ресурс (слепые уже работают), а с позиции права на труд – </w:t>
      </w:r>
      <w:proofErr w:type="spellStart"/>
      <w:r>
        <w:t>неограниченый</w:t>
      </w:r>
      <w:proofErr w:type="spellEnd"/>
      <w:r>
        <w:t>.</w:t>
      </w:r>
    </w:p>
  </w:footnote>
  <w:footnote w:id="6">
    <w:p w:rsidR="003A3B38" w:rsidRDefault="003A3B38" w:rsidP="00C33320">
      <w:pPr>
        <w:pStyle w:val="ConsPlusNormal"/>
        <w:tabs>
          <w:tab w:val="left" w:pos="2543"/>
          <w:tab w:val="left" w:pos="3352"/>
        </w:tabs>
        <w:spacing w:line="200" w:lineRule="atLeast"/>
        <w:ind w:firstLine="0"/>
        <w:jc w:val="both"/>
      </w:pPr>
      <w:r>
        <w:rPr>
          <w:rStyle w:val="a4"/>
        </w:rPr>
        <w:footnoteRef/>
      </w:r>
      <w:r w:rsidRPr="00C33320">
        <w:rPr>
          <w:rFonts w:ascii="Times New Roman" w:eastAsia="Times New Roman" w:hAnsi="Times New Roman" w:cs="Times New Roman"/>
          <w:color w:val="000000"/>
          <w:lang w:eastAsia="hi-IN" w:bidi="hi-IN"/>
        </w:rPr>
        <w:t>Институциональная экономика: Учеб. пособие</w:t>
      </w:r>
      <w:proofErr w:type="gramStart"/>
      <w:r w:rsidRPr="00C33320">
        <w:rPr>
          <w:rFonts w:ascii="Times New Roman" w:eastAsia="Times New Roman" w:hAnsi="Times New Roman" w:cs="Times New Roman"/>
          <w:color w:val="000000"/>
          <w:lang w:eastAsia="hi-IN" w:bidi="hi-IN"/>
        </w:rPr>
        <w:t xml:space="preserve"> / П</w:t>
      </w:r>
      <w:proofErr w:type="gramEnd"/>
      <w:r w:rsidRPr="00C33320">
        <w:rPr>
          <w:rFonts w:ascii="Times New Roman" w:eastAsia="Times New Roman" w:hAnsi="Times New Roman" w:cs="Times New Roman"/>
          <w:color w:val="000000"/>
          <w:lang w:eastAsia="hi-IN" w:bidi="hi-IN"/>
        </w:rPr>
        <w:t xml:space="preserve">од рук. Акад. </w:t>
      </w:r>
      <w:r w:rsidRPr="00C33320">
        <w:rPr>
          <w:rFonts w:ascii="Times New Roman" w:eastAsia="Times New Roman" w:hAnsi="Times New Roman" w:cs="Times New Roman"/>
          <w:lang w:eastAsia="hi-IN" w:bidi="hi-IN"/>
        </w:rPr>
        <w:t>Д. С. Львова. — М.: ИНФРА-М, 2001. — 318 с. — (Серия «Высшее образование»)</w:t>
      </w:r>
      <w:r>
        <w:rPr>
          <w:rFonts w:ascii="Times New Roman" w:eastAsia="Times New Roman" w:hAnsi="Times New Roman" w:cs="Times New Roman"/>
          <w:lang w:eastAsia="hi-IN" w:bidi="hi-IN"/>
        </w:rPr>
        <w:t>, с. 44</w:t>
      </w:r>
    </w:p>
  </w:footnote>
  <w:footnote w:id="7">
    <w:p w:rsidR="003A3B38" w:rsidRDefault="003A3B38">
      <w:pPr>
        <w:pStyle w:val="a5"/>
      </w:pPr>
      <w:r>
        <w:rPr>
          <w:rStyle w:val="a4"/>
        </w:rPr>
        <w:footnoteRef/>
      </w:r>
      <w:r w:rsidRPr="00C33320">
        <w:rPr>
          <w:rStyle w:val="EndnoteSymbol"/>
          <w:rFonts w:cs="Times New Roman"/>
          <w:sz w:val="20"/>
          <w:szCs w:val="20"/>
        </w:rPr>
        <w:t>Пригожин А. И. Современная социология организации. - М., 1995. - С.45.</w:t>
      </w:r>
    </w:p>
  </w:footnote>
  <w:footnote w:id="8">
    <w:p w:rsidR="003A3B38" w:rsidRDefault="003A3B38" w:rsidP="00C33320">
      <w:pPr>
        <w:spacing w:after="0" w:line="360" w:lineRule="auto"/>
        <w:ind w:left="885"/>
        <w:jc w:val="both"/>
      </w:pPr>
      <w:r>
        <w:rPr>
          <w:rStyle w:val="a4"/>
        </w:rPr>
        <w:footnoteRef/>
      </w:r>
      <w:proofErr w:type="spellStart"/>
      <w:r w:rsidRPr="00C33320">
        <w:rPr>
          <w:rFonts w:ascii="Times New Roman" w:eastAsia="Times New Roman" w:hAnsi="Times New Roman" w:cs="Times New Roman"/>
          <w:sz w:val="20"/>
          <w:szCs w:val="20"/>
          <w:lang w:eastAsia="ru-RU"/>
        </w:rPr>
        <w:t>Богачкова</w:t>
      </w:r>
      <w:proofErr w:type="spellEnd"/>
      <w:r w:rsidRPr="00C333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Н. Ю. Реализация экономических преимуществ корпорации в переходной экономике</w:t>
      </w:r>
    </w:p>
  </w:footnote>
  <w:footnote w:id="9">
    <w:p w:rsidR="003A3B38" w:rsidRPr="003A3B38" w:rsidRDefault="003A3B38">
      <w:pPr>
        <w:pStyle w:val="a5"/>
        <w:rPr>
          <w:lang w:val="en-US"/>
        </w:rPr>
      </w:pPr>
      <w:r>
        <w:rPr>
          <w:rStyle w:val="a4"/>
        </w:rPr>
        <w:footnoteRef/>
      </w:r>
      <w:r w:rsidRPr="004F65C4">
        <w:rPr>
          <w:rFonts w:cs="Times New Roman"/>
          <w:lang w:val="en-US"/>
        </w:rPr>
        <w:t>«Non-Profit Sector Accounting: Issues and Recommendations» from Asia Pacific Societies, 2006</w:t>
      </w:r>
      <w:r w:rsidRPr="00010904">
        <w:rPr>
          <w:rFonts w:cs="Times New Roman"/>
          <w:lang w:val="en-US"/>
        </w:rPr>
        <w:t xml:space="preserve">, </w:t>
      </w:r>
      <w:r>
        <w:rPr>
          <w:rFonts w:cs="Times New Roman"/>
        </w:rPr>
        <w:t>с</w:t>
      </w:r>
      <w:r>
        <w:rPr>
          <w:rFonts w:cs="Times New Roman"/>
          <w:lang w:val="en-US"/>
        </w:rPr>
        <w:t>. 1</w:t>
      </w:r>
      <w:r w:rsidRPr="003A3B38">
        <w:rPr>
          <w:rFonts w:cs="Times New Roman"/>
          <w:lang w:val="en-US"/>
        </w:rPr>
        <w:t>5-</w:t>
      </w:r>
      <w:bookmarkStart w:id="0" w:name="_GoBack"/>
      <w:bookmarkEnd w:id="0"/>
      <w:r w:rsidRPr="003A3B38">
        <w:rPr>
          <w:rFonts w:cs="Times New Roman"/>
          <w:lang w:val="en-US"/>
        </w:rPr>
        <w:t>16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E6E4CB0"/>
    <w:multiLevelType w:val="hybridMultilevel"/>
    <w:tmpl w:val="1B363E06"/>
    <w:lvl w:ilvl="0" w:tplc="1EA641F0">
      <w:start w:val="1"/>
      <w:numFmt w:val="decimal"/>
      <w:lvlText w:val="%1."/>
      <w:lvlJc w:val="left"/>
      <w:pPr>
        <w:ind w:left="1069" w:hanging="360"/>
      </w:pPr>
      <w:rPr>
        <w:rFonts w:eastAsiaTheme="minorHAnsi" w:cstheme="minorBid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4A6216A"/>
    <w:multiLevelType w:val="hybridMultilevel"/>
    <w:tmpl w:val="0BBC7690"/>
    <w:lvl w:ilvl="0" w:tplc="0419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4">
    <w:nsid w:val="5A4605EC"/>
    <w:multiLevelType w:val="hybridMultilevel"/>
    <w:tmpl w:val="A22AA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560EE6"/>
    <w:multiLevelType w:val="hybridMultilevel"/>
    <w:tmpl w:val="9542A742"/>
    <w:lvl w:ilvl="0" w:tplc="DC6A77D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29B0"/>
    <w:rsid w:val="00000136"/>
    <w:rsid w:val="0005618F"/>
    <w:rsid w:val="001D3B97"/>
    <w:rsid w:val="00316319"/>
    <w:rsid w:val="003A3B38"/>
    <w:rsid w:val="00421801"/>
    <w:rsid w:val="0046485F"/>
    <w:rsid w:val="004A0A02"/>
    <w:rsid w:val="0054138C"/>
    <w:rsid w:val="005623E1"/>
    <w:rsid w:val="006A6BE6"/>
    <w:rsid w:val="00753838"/>
    <w:rsid w:val="0080342A"/>
    <w:rsid w:val="0082380A"/>
    <w:rsid w:val="00A5263F"/>
    <w:rsid w:val="00A928C4"/>
    <w:rsid w:val="00A97402"/>
    <w:rsid w:val="00B129B0"/>
    <w:rsid w:val="00C33320"/>
    <w:rsid w:val="00D109EF"/>
    <w:rsid w:val="00E32219"/>
    <w:rsid w:val="00E626F2"/>
    <w:rsid w:val="00FA6B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8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ndnoteSymbol">
    <w:name w:val="Endnote Symbol"/>
    <w:basedOn w:val="a0"/>
    <w:rsid w:val="006A6BE6"/>
    <w:rPr>
      <w:rFonts w:eastAsia="SimSun"/>
      <w:position w:val="10"/>
      <w:sz w:val="24"/>
      <w:szCs w:val="24"/>
      <w:lang w:val="ru-RU"/>
    </w:rPr>
  </w:style>
  <w:style w:type="paragraph" w:styleId="a3">
    <w:name w:val="Normal (Web)"/>
    <w:basedOn w:val="a"/>
    <w:uiPriority w:val="99"/>
    <w:unhideWhenUsed/>
    <w:rsid w:val="00A9740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footnote reference"/>
    <w:uiPriority w:val="99"/>
    <w:rsid w:val="00A97402"/>
    <w:rPr>
      <w:vertAlign w:val="superscript"/>
    </w:rPr>
  </w:style>
  <w:style w:type="paragraph" w:styleId="a5">
    <w:name w:val="footnote text"/>
    <w:basedOn w:val="a"/>
    <w:link w:val="a6"/>
    <w:uiPriority w:val="99"/>
    <w:rsid w:val="00A97402"/>
    <w:pPr>
      <w:widowControl w:val="0"/>
      <w:suppressLineNumbers/>
      <w:suppressAutoHyphens/>
      <w:spacing w:after="0" w:line="240" w:lineRule="auto"/>
      <w:ind w:left="283" w:hanging="283"/>
    </w:pPr>
    <w:rPr>
      <w:rFonts w:ascii="Times New Roman" w:eastAsia="SimSun" w:hAnsi="Times New Roman" w:cs="Mangal"/>
      <w:kern w:val="1"/>
      <w:sz w:val="20"/>
      <w:szCs w:val="20"/>
      <w:lang w:eastAsia="hi-IN" w:bidi="hi-IN"/>
    </w:rPr>
  </w:style>
  <w:style w:type="character" w:customStyle="1" w:styleId="a6">
    <w:name w:val="Текст сноски Знак"/>
    <w:basedOn w:val="a0"/>
    <w:link w:val="a5"/>
    <w:uiPriority w:val="99"/>
    <w:rsid w:val="00A97402"/>
    <w:rPr>
      <w:rFonts w:ascii="Times New Roman" w:eastAsia="SimSun" w:hAnsi="Times New Roman" w:cs="Mangal"/>
      <w:kern w:val="1"/>
      <w:sz w:val="20"/>
      <w:szCs w:val="20"/>
      <w:lang w:eastAsia="hi-IN" w:bidi="hi-IN"/>
    </w:rPr>
  </w:style>
  <w:style w:type="paragraph" w:styleId="a7">
    <w:name w:val="List Paragraph"/>
    <w:basedOn w:val="a"/>
    <w:uiPriority w:val="34"/>
    <w:qFormat/>
    <w:rsid w:val="004A0A02"/>
    <w:pPr>
      <w:ind w:left="720"/>
      <w:contextualSpacing/>
    </w:pPr>
  </w:style>
  <w:style w:type="paragraph" w:customStyle="1" w:styleId="Standard">
    <w:name w:val="Standard"/>
    <w:rsid w:val="001D3B9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a8">
    <w:name w:val="Table Grid"/>
    <w:basedOn w:val="a1"/>
    <w:uiPriority w:val="59"/>
    <w:rsid w:val="001D3B9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3332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ndnoteSymbol">
    <w:name w:val="Endnote Symbol"/>
    <w:basedOn w:val="a0"/>
    <w:rsid w:val="006A6BE6"/>
    <w:rPr>
      <w:rFonts w:eastAsia="SimSun"/>
      <w:position w:val="10"/>
      <w:sz w:val="24"/>
      <w:szCs w:val="24"/>
      <w:lang w:val="ru-RU"/>
    </w:rPr>
  </w:style>
  <w:style w:type="paragraph" w:styleId="a3">
    <w:name w:val="Normal (Web)"/>
    <w:basedOn w:val="a"/>
    <w:uiPriority w:val="99"/>
    <w:unhideWhenUsed/>
    <w:rsid w:val="00A9740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footnote reference"/>
    <w:uiPriority w:val="99"/>
    <w:rsid w:val="00A97402"/>
    <w:rPr>
      <w:vertAlign w:val="superscript"/>
    </w:rPr>
  </w:style>
  <w:style w:type="paragraph" w:styleId="a5">
    <w:name w:val="footnote text"/>
    <w:basedOn w:val="a"/>
    <w:link w:val="a6"/>
    <w:uiPriority w:val="99"/>
    <w:rsid w:val="00A97402"/>
    <w:pPr>
      <w:widowControl w:val="0"/>
      <w:suppressLineNumbers/>
      <w:suppressAutoHyphens/>
      <w:spacing w:after="0" w:line="240" w:lineRule="auto"/>
      <w:ind w:left="283" w:hanging="283"/>
    </w:pPr>
    <w:rPr>
      <w:rFonts w:ascii="Times New Roman" w:eastAsia="SimSun" w:hAnsi="Times New Roman" w:cs="Mangal"/>
      <w:kern w:val="1"/>
      <w:sz w:val="20"/>
      <w:szCs w:val="20"/>
      <w:lang w:eastAsia="hi-IN" w:bidi="hi-IN"/>
    </w:rPr>
  </w:style>
  <w:style w:type="character" w:customStyle="1" w:styleId="a6">
    <w:name w:val="Текст сноски Знак"/>
    <w:basedOn w:val="a0"/>
    <w:link w:val="a5"/>
    <w:uiPriority w:val="99"/>
    <w:rsid w:val="00A97402"/>
    <w:rPr>
      <w:rFonts w:ascii="Times New Roman" w:eastAsia="SimSun" w:hAnsi="Times New Roman" w:cs="Mangal"/>
      <w:kern w:val="1"/>
      <w:sz w:val="20"/>
      <w:szCs w:val="20"/>
      <w:lang w:eastAsia="hi-IN" w:bidi="hi-IN"/>
    </w:rPr>
  </w:style>
  <w:style w:type="paragraph" w:styleId="a7">
    <w:name w:val="List Paragraph"/>
    <w:basedOn w:val="a"/>
    <w:uiPriority w:val="34"/>
    <w:qFormat/>
    <w:rsid w:val="004A0A02"/>
    <w:pPr>
      <w:ind w:left="720"/>
      <w:contextualSpacing/>
    </w:pPr>
  </w:style>
  <w:style w:type="paragraph" w:customStyle="1" w:styleId="Standard">
    <w:name w:val="Standard"/>
    <w:rsid w:val="001D3B9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a8">
    <w:name w:val="Table Grid"/>
    <w:basedOn w:val="a1"/>
    <w:uiPriority w:val="59"/>
    <w:rsid w:val="001D3B9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3332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3FA249-DF08-45B4-AEE7-B9B2A458A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909</TotalTime>
  <Pages>8</Pages>
  <Words>1903</Words>
  <Characters>10851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N150</dc:creator>
  <cp:lastModifiedBy>t.l.parhomenko</cp:lastModifiedBy>
  <cp:revision>7</cp:revision>
  <dcterms:created xsi:type="dcterms:W3CDTF">2012-09-23T02:11:00Z</dcterms:created>
  <dcterms:modified xsi:type="dcterms:W3CDTF">2012-09-25T05:17:00Z</dcterms:modified>
</cp:coreProperties>
</file>