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A" w:rsidRPr="00EC7CFA" w:rsidRDefault="00CF3F5A" w:rsidP="00EC7CFA">
      <w:pPr>
        <w:pStyle w:val="22"/>
        <w:spacing w:after="6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CFA">
        <w:rPr>
          <w:rFonts w:ascii="Times New Roman" w:eastAsia="Calibri" w:hAnsi="Times New Roman" w:cs="Times New Roman"/>
          <w:sz w:val="28"/>
          <w:szCs w:val="28"/>
        </w:rPr>
        <w:t>В развитии интеграционных процессов в рамках Евразийского экономического сообщества (</w:t>
      </w:r>
      <w:proofErr w:type="spellStart"/>
      <w:r w:rsidRPr="00EC7CFA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Pr="00EC7CFA">
        <w:rPr>
          <w:rFonts w:ascii="Times New Roman" w:eastAsia="Calibri" w:hAnsi="Times New Roman" w:cs="Times New Roman"/>
          <w:sz w:val="28"/>
          <w:szCs w:val="28"/>
        </w:rPr>
        <w:t>), объединяющего 5 стран СНГ (Белоруссию, Казахстан, Киргизию, Россию и Таджикистан), весьма важная роль принадлежи</w:t>
      </w:r>
      <w:r w:rsidR="00633122" w:rsidRPr="00EC7CFA">
        <w:rPr>
          <w:rFonts w:ascii="Times New Roman" w:eastAsia="Calibri" w:hAnsi="Times New Roman" w:cs="Times New Roman"/>
          <w:sz w:val="28"/>
          <w:szCs w:val="28"/>
        </w:rPr>
        <w:t>т интеграции в финансовой сфере</w:t>
      </w:r>
      <w:r w:rsidRPr="00EC7CFA">
        <w:rPr>
          <w:rFonts w:ascii="Times New Roman" w:eastAsia="Calibri" w:hAnsi="Times New Roman" w:cs="Times New Roman"/>
          <w:sz w:val="28"/>
          <w:szCs w:val="28"/>
        </w:rPr>
        <w:t xml:space="preserve">. В Договоре об учреждении Евразийского экономического сообщества, подписанном руководителями стран «пятерки» 10 октября 2000 г., обеспечение взаимодействия валютно-финансовых систем названо одной из главных задач </w:t>
      </w:r>
      <w:proofErr w:type="spellStart"/>
      <w:r w:rsidRPr="00EC7CFA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Pr="00EC7CFA">
        <w:rPr>
          <w:rFonts w:ascii="Times New Roman" w:eastAsia="Calibri" w:hAnsi="Times New Roman" w:cs="Times New Roman"/>
          <w:sz w:val="28"/>
          <w:szCs w:val="28"/>
        </w:rPr>
        <w:t xml:space="preserve"> в области экономической политики.</w:t>
      </w:r>
    </w:p>
    <w:p w:rsidR="00CF3F5A" w:rsidRPr="00EC7CFA" w:rsidRDefault="00633122" w:rsidP="00EC7CFA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CFA">
        <w:rPr>
          <w:rFonts w:ascii="Times New Roman" w:eastAsia="Calibri" w:hAnsi="Times New Roman" w:cs="Times New Roman"/>
          <w:sz w:val="28"/>
          <w:szCs w:val="28"/>
        </w:rPr>
        <w:t>Раньше</w:t>
      </w:r>
      <w:r w:rsidR="00CF3F5A" w:rsidRPr="00EC7CFA">
        <w:rPr>
          <w:rFonts w:ascii="Times New Roman" w:eastAsia="Calibri" w:hAnsi="Times New Roman" w:cs="Times New Roman"/>
          <w:sz w:val="28"/>
          <w:szCs w:val="28"/>
        </w:rPr>
        <w:t xml:space="preserve"> вопрос об интеграции непосредственно в валютной сфере – в отличие от развития взаимодействия финансовых систем в целом – реально не стоял на повестке дня Сообщества. Положение изменилось </w:t>
      </w:r>
      <w:proofErr w:type="gramStart"/>
      <w:r w:rsidR="00CF3F5A" w:rsidRPr="00EC7CFA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="00CF3F5A" w:rsidRPr="00EC7CFA">
        <w:rPr>
          <w:rFonts w:ascii="Times New Roman" w:eastAsia="Calibri" w:hAnsi="Times New Roman" w:cs="Times New Roman"/>
          <w:sz w:val="28"/>
          <w:szCs w:val="28"/>
        </w:rPr>
        <w:t xml:space="preserve"> 2003 г., когда на Первом экономическом форуме </w:t>
      </w:r>
      <w:proofErr w:type="spellStart"/>
      <w:r w:rsidR="00CF3F5A" w:rsidRPr="00EC7CFA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="00CF3F5A" w:rsidRPr="00EC7CFA">
        <w:rPr>
          <w:rFonts w:ascii="Times New Roman" w:eastAsia="Calibri" w:hAnsi="Times New Roman" w:cs="Times New Roman"/>
          <w:sz w:val="28"/>
          <w:szCs w:val="28"/>
        </w:rPr>
        <w:t xml:space="preserve"> представителями Казахстана и России было внесено предложение о переходе к валютной интеграции и введении в перспективе единой валюты. Вопросы валютной интеграции нашли отражение в важнейшем документе Сообщества – Приоритетных направлениях развития </w:t>
      </w:r>
      <w:proofErr w:type="spellStart"/>
      <w:r w:rsidR="00CF3F5A" w:rsidRPr="00EC7CFA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="00CF3F5A" w:rsidRPr="00EC7CFA">
        <w:rPr>
          <w:rFonts w:ascii="Times New Roman" w:eastAsia="Calibri" w:hAnsi="Times New Roman" w:cs="Times New Roman"/>
          <w:sz w:val="28"/>
          <w:szCs w:val="28"/>
        </w:rPr>
        <w:t xml:space="preserve"> на 2003-2006 и последующие годы, в соответствии с которым в указанный период, в частности, должны быть разработаны принципы и условия формирования интегрированного валютного рынка, согласованы принципы и условия перехода на единую валюту.</w:t>
      </w:r>
    </w:p>
    <w:p w:rsidR="00633122" w:rsidRPr="00EC7CFA" w:rsidRDefault="00633122" w:rsidP="00EC7CFA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C7CFA">
        <w:rPr>
          <w:sz w:val="28"/>
          <w:szCs w:val="28"/>
        </w:rPr>
        <w:t>Прежде всего, внимание уделялось процессам валют</w:t>
      </w:r>
      <w:r w:rsidRPr="00EC7CFA">
        <w:rPr>
          <w:sz w:val="28"/>
          <w:szCs w:val="28"/>
        </w:rPr>
        <w:softHyphen/>
        <w:t>ной интеграции, в рамках которых страны обязуются жестко зафик</w:t>
      </w:r>
      <w:r w:rsidRPr="00EC7CFA">
        <w:rPr>
          <w:sz w:val="28"/>
          <w:szCs w:val="28"/>
        </w:rPr>
        <w:softHyphen/>
        <w:t>сировать взаимные обменные курсы или перейти к единой валюте (ввести новую валюту или использовать в обращении валюту одной из стран). Данная проблема в экономической теории получила на</w:t>
      </w:r>
      <w:r w:rsidRPr="00EC7CFA">
        <w:rPr>
          <w:sz w:val="28"/>
          <w:szCs w:val="28"/>
        </w:rPr>
        <w:softHyphen/>
        <w:t>звание проблемы оптимальных валютных зон (ОВЗ) - «оптималь</w:t>
      </w:r>
      <w:r w:rsidRPr="00EC7CFA">
        <w:rPr>
          <w:sz w:val="28"/>
          <w:szCs w:val="28"/>
        </w:rPr>
        <w:softHyphen/>
        <w:t>ных» в географическом смысле областей, на территории которых общеупотребительным средством платежа является либо единая ва</w:t>
      </w:r>
      <w:r w:rsidRPr="00EC7CFA">
        <w:rPr>
          <w:sz w:val="28"/>
          <w:szCs w:val="28"/>
        </w:rPr>
        <w:softHyphen/>
        <w:t xml:space="preserve">люта, либо группа валют, двусторонние обменные курсы которых жестко фиксированы, </w:t>
      </w:r>
      <w:r w:rsidRPr="00EC7CFA">
        <w:rPr>
          <w:sz w:val="28"/>
          <w:szCs w:val="28"/>
        </w:rPr>
        <w:lastRenderedPageBreak/>
        <w:t>тогда как по отношению к остальным миро</w:t>
      </w:r>
      <w:r w:rsidRPr="00EC7CFA">
        <w:rPr>
          <w:sz w:val="28"/>
          <w:szCs w:val="28"/>
        </w:rPr>
        <w:softHyphen/>
        <w:t>вым валютам используется режим плавающего обменного курса.</w:t>
      </w:r>
    </w:p>
    <w:p w:rsidR="00633122" w:rsidRPr="00EC7CFA" w:rsidRDefault="00633122" w:rsidP="00EC7CFA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C7CFA">
        <w:rPr>
          <w:sz w:val="28"/>
          <w:szCs w:val="28"/>
        </w:rPr>
        <w:t>Выгоды единой валюты в первую очередь вытекают из основных функций денег в экономике. В частности, в процессе валютной ин</w:t>
      </w:r>
      <w:r w:rsidRPr="00EC7CFA">
        <w:rPr>
          <w:sz w:val="28"/>
          <w:szCs w:val="28"/>
        </w:rPr>
        <w:softHyphen/>
        <w:t>теграции повышается ценность денег с точки зрения средства сбе</w:t>
      </w:r>
      <w:r w:rsidRPr="00EC7CFA">
        <w:rPr>
          <w:sz w:val="28"/>
          <w:szCs w:val="28"/>
        </w:rPr>
        <w:softHyphen/>
        <w:t>режения, средства обмена и меры стоимости из-за снижения тран</w:t>
      </w:r>
      <w:r w:rsidR="00BB0591">
        <w:rPr>
          <w:sz w:val="28"/>
          <w:szCs w:val="28"/>
        </w:rPr>
        <w:t>з</w:t>
      </w:r>
      <w:r w:rsidRPr="00EC7CFA">
        <w:rPr>
          <w:sz w:val="28"/>
          <w:szCs w:val="28"/>
        </w:rPr>
        <w:t>акционных издержек, устранения валютных рисков и необходимо</w:t>
      </w:r>
      <w:r w:rsidRPr="00EC7CFA">
        <w:rPr>
          <w:sz w:val="28"/>
          <w:szCs w:val="28"/>
        </w:rPr>
        <w:softHyphen/>
        <w:t>сти форвардных покрытий, а также увеличения числа экономиче</w:t>
      </w:r>
      <w:r w:rsidRPr="00EC7CFA">
        <w:rPr>
          <w:sz w:val="28"/>
          <w:szCs w:val="28"/>
        </w:rPr>
        <w:softHyphen/>
        <w:t>ских агентов, использующих единую валюту для совершения тран</w:t>
      </w:r>
      <w:r w:rsidRPr="00EC7CFA">
        <w:rPr>
          <w:sz w:val="28"/>
          <w:szCs w:val="28"/>
        </w:rPr>
        <w:softHyphen/>
        <w:t>сакций. Другим благоприятным последствием валютной интеграции является увеличение «глубины» и «ширины» валютного рынка, что снижает его волатильность и уменьшает возможность отдельных спекулянтов воздействовать на курс единой валюты</w:t>
      </w:r>
    </w:p>
    <w:p w:rsidR="00CF3F5A" w:rsidRPr="00EC7CFA" w:rsidRDefault="00CF3F5A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eastAsia="Calibri" w:hAnsi="Times New Roman" w:cs="Times New Roman"/>
          <w:sz w:val="28"/>
          <w:szCs w:val="28"/>
        </w:rPr>
        <w:tab/>
        <w:t>Все страны «пятерки» едины во мнении, ч</w:t>
      </w:r>
      <w:r w:rsidR="00EC7CFA">
        <w:rPr>
          <w:rFonts w:ascii="Times New Roman" w:eastAsia="Calibri" w:hAnsi="Times New Roman" w:cs="Times New Roman"/>
          <w:sz w:val="28"/>
          <w:szCs w:val="28"/>
        </w:rPr>
        <w:t>то интеграционный процесс должен начинаться с</w:t>
      </w:r>
      <w:r w:rsidRPr="00EC7CFA">
        <w:rPr>
          <w:rFonts w:ascii="Times New Roman" w:eastAsia="Calibri" w:hAnsi="Times New Roman" w:cs="Times New Roman"/>
          <w:sz w:val="28"/>
          <w:szCs w:val="28"/>
        </w:rPr>
        <w:t xml:space="preserve"> введени</w:t>
      </w:r>
      <w:r w:rsidR="008E7F5A">
        <w:rPr>
          <w:rFonts w:ascii="Times New Roman" w:eastAsia="Calibri" w:hAnsi="Times New Roman" w:cs="Times New Roman"/>
          <w:sz w:val="28"/>
          <w:szCs w:val="28"/>
        </w:rPr>
        <w:t>я</w:t>
      </w:r>
      <w:r w:rsidRPr="00EC7CFA">
        <w:rPr>
          <w:rFonts w:ascii="Times New Roman" w:eastAsia="Calibri" w:hAnsi="Times New Roman" w:cs="Times New Roman"/>
          <w:sz w:val="28"/>
          <w:szCs w:val="28"/>
        </w:rPr>
        <w:t xml:space="preserve"> общей валюты.</w:t>
      </w:r>
    </w:p>
    <w:p w:rsidR="003C3EE4" w:rsidRDefault="00EC7CFA" w:rsidP="00EC7CFA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F3F5A" w:rsidRPr="00EC7CFA">
        <w:rPr>
          <w:rFonts w:ascii="Times New Roman" w:eastAsia="Calibri" w:hAnsi="Times New Roman" w:cs="Times New Roman"/>
          <w:sz w:val="28"/>
          <w:szCs w:val="28"/>
        </w:rPr>
        <w:t>алютный союз может быть успешным лишь при обеспечении стабильности создаваемой единой валюты, а это, в свою очередь, требует сближения ряда основных макроэкономических показателей стран-участниц</w:t>
      </w:r>
    </w:p>
    <w:p w:rsidR="00CF30B7" w:rsidRPr="00CF30B7" w:rsidRDefault="00CF30B7" w:rsidP="00CF30B7">
      <w:pPr>
        <w:pStyle w:val="ad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инфляции и процентных ставок</w:t>
      </w:r>
    </w:p>
    <w:p w:rsidR="00633122" w:rsidRPr="00EC7CFA" w:rsidRDefault="00633122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 xml:space="preserve">Одним из таких критериев является - </w:t>
      </w:r>
      <w:r w:rsidRPr="00EC7CFA">
        <w:rPr>
          <w:rStyle w:val="39"/>
          <w:sz w:val="28"/>
          <w:szCs w:val="28"/>
        </w:rPr>
        <w:t>сходство тем</w:t>
      </w:r>
      <w:r w:rsidRPr="00EC7CFA">
        <w:rPr>
          <w:rStyle w:val="39"/>
          <w:sz w:val="28"/>
          <w:szCs w:val="28"/>
        </w:rPr>
        <w:softHyphen/>
        <w:t>пов инфляции.</w:t>
      </w:r>
      <w:r w:rsidRPr="00EC7CFA">
        <w:rPr>
          <w:rFonts w:ascii="Times New Roman" w:hAnsi="Times New Roman" w:cs="Times New Roman"/>
          <w:sz w:val="28"/>
          <w:szCs w:val="28"/>
        </w:rPr>
        <w:t xml:space="preserve"> Известно, что при существенных различиях в тем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пах роста цен для корректировки покупательной способности на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циональных валют может: (а) потребоваться изменение взаимного обменного курса либо (б) страна с меньшей инфляцией будет выну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ждена допустить более быстрый рост цен и ослабление контроля над собственной денежно-кредитной политикой. Таким образом, сходст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во темпов инфляции могло свидетельствовать об относительно меньших издержках для стран при введении единой валюты или же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сткой фиксации взаимных обменных курсов.</w:t>
      </w:r>
    </w:p>
    <w:p w:rsidR="00633122" w:rsidRPr="00EC7CFA" w:rsidRDefault="00633122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lastRenderedPageBreak/>
        <w:t>В качестве индикатор</w:t>
      </w:r>
      <w:r w:rsidR="00836A04">
        <w:rPr>
          <w:rFonts w:ascii="Times New Roman" w:hAnsi="Times New Roman" w:cs="Times New Roman"/>
          <w:sz w:val="28"/>
          <w:szCs w:val="28"/>
        </w:rPr>
        <w:t>а</w:t>
      </w:r>
      <w:r w:rsidRPr="00EC7CFA">
        <w:rPr>
          <w:rFonts w:ascii="Times New Roman" w:hAnsi="Times New Roman" w:cs="Times New Roman"/>
          <w:sz w:val="28"/>
          <w:szCs w:val="28"/>
        </w:rPr>
        <w:t xml:space="preserve"> инфляции возьмем показатель индекс потребительских цен</w:t>
      </w:r>
    </w:p>
    <w:p w:rsidR="003C3EE4" w:rsidRPr="00EC7CFA" w:rsidRDefault="00633122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847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3EE4" w:rsidRPr="00EC7CFA" w:rsidRDefault="005C6F31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633122" w:rsidRPr="00EC7CFA">
        <w:rPr>
          <w:rFonts w:ascii="Times New Roman" w:hAnsi="Times New Roman" w:cs="Times New Roman"/>
          <w:sz w:val="28"/>
          <w:szCs w:val="28"/>
        </w:rPr>
        <w:t xml:space="preserve"> графика </w:t>
      </w: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633122" w:rsidRPr="00EC7CFA">
        <w:rPr>
          <w:rFonts w:ascii="Times New Roman" w:hAnsi="Times New Roman" w:cs="Times New Roman"/>
          <w:sz w:val="28"/>
          <w:szCs w:val="28"/>
        </w:rPr>
        <w:t>, что индекс потребительских</w:t>
      </w:r>
      <w:r w:rsidR="00CF30B7">
        <w:rPr>
          <w:rFonts w:ascii="Times New Roman" w:hAnsi="Times New Roman" w:cs="Times New Roman"/>
          <w:sz w:val="28"/>
          <w:szCs w:val="28"/>
        </w:rPr>
        <w:t xml:space="preserve"> цен схож</w:t>
      </w:r>
      <w:r w:rsidR="00CF30B7" w:rsidRPr="00CF30B7">
        <w:rPr>
          <w:rFonts w:ascii="Times New Roman" w:hAnsi="Times New Roman" w:cs="Times New Roman"/>
          <w:sz w:val="28"/>
          <w:szCs w:val="28"/>
        </w:rPr>
        <w:t xml:space="preserve"> </w:t>
      </w:r>
      <w:r w:rsidR="00CF30B7">
        <w:rPr>
          <w:rFonts w:ascii="Times New Roman" w:hAnsi="Times New Roman" w:cs="Times New Roman"/>
          <w:sz w:val="28"/>
          <w:szCs w:val="28"/>
        </w:rPr>
        <w:t>и достаточно стабилен</w:t>
      </w:r>
      <w:r w:rsidR="00633122" w:rsidRPr="00EC7CFA">
        <w:rPr>
          <w:rFonts w:ascii="Times New Roman" w:hAnsi="Times New Roman" w:cs="Times New Roman"/>
          <w:sz w:val="28"/>
          <w:szCs w:val="28"/>
        </w:rPr>
        <w:t xml:space="preserve"> в странах </w:t>
      </w:r>
      <w:proofErr w:type="spellStart"/>
      <w:r w:rsidR="00633122" w:rsidRPr="00EC7CFA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633122" w:rsidRPr="00EC7CFA">
        <w:rPr>
          <w:rFonts w:ascii="Times New Roman" w:hAnsi="Times New Roman" w:cs="Times New Roman"/>
          <w:sz w:val="28"/>
          <w:szCs w:val="28"/>
        </w:rPr>
        <w:t>, это положительно характеризует возможности перехода к единой валюте.  В случае перехода к единой валюте при нестабильной инфляц</w:t>
      </w:r>
      <w:proofErr w:type="gramStart"/>
      <w:r w:rsidR="00633122" w:rsidRPr="00EC7CF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633122" w:rsidRPr="00EC7CFA">
        <w:rPr>
          <w:rFonts w:ascii="Times New Roman" w:hAnsi="Times New Roman" w:cs="Times New Roman"/>
          <w:sz w:val="28"/>
          <w:szCs w:val="28"/>
        </w:rPr>
        <w:t xml:space="preserve"> значительном отличии между странами, единая валюта была бы подвержена большей волатильности, что было бы связано с определёнными потерями.</w:t>
      </w:r>
    </w:p>
    <w:p w:rsidR="00C56382" w:rsidRPr="00EC7CFA" w:rsidRDefault="00B509F5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15DD" w:rsidRPr="00EC7CFA">
        <w:rPr>
          <w:rFonts w:ascii="Times New Roman" w:hAnsi="Times New Roman" w:cs="Times New Roman"/>
          <w:sz w:val="28"/>
          <w:szCs w:val="28"/>
        </w:rPr>
        <w:t xml:space="preserve">ндекс потребительских цен влияет на принятие решения об изменении учетной ставки (ставки рефинансирования) центральными банками, поэтому </w:t>
      </w:r>
      <w:r w:rsidR="00B75CE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715DD" w:rsidRPr="00EC7CFA">
        <w:rPr>
          <w:rFonts w:ascii="Times New Roman" w:hAnsi="Times New Roman" w:cs="Times New Roman"/>
          <w:sz w:val="28"/>
          <w:szCs w:val="28"/>
        </w:rPr>
        <w:t>проанализир</w:t>
      </w:r>
      <w:r w:rsidR="00B75CE7">
        <w:rPr>
          <w:rFonts w:ascii="Times New Roman" w:hAnsi="Times New Roman" w:cs="Times New Roman"/>
          <w:sz w:val="28"/>
          <w:szCs w:val="28"/>
        </w:rPr>
        <w:t>овать</w:t>
      </w:r>
      <w:r w:rsidR="001715DD" w:rsidRPr="00EC7CFA">
        <w:rPr>
          <w:rFonts w:ascii="Times New Roman" w:hAnsi="Times New Roman" w:cs="Times New Roman"/>
          <w:sz w:val="28"/>
          <w:szCs w:val="28"/>
        </w:rPr>
        <w:t xml:space="preserve"> и этот показатель. </w:t>
      </w:r>
    </w:p>
    <w:p w:rsidR="001715DD" w:rsidRPr="00EC7CFA" w:rsidRDefault="001715DD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362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30B7" w:rsidRDefault="00495BD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информации</w:t>
      </w:r>
      <w:r w:rsidR="001715DD" w:rsidRPr="00EC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на графике, можно сделать вывод о том, что </w:t>
      </w:r>
      <w:r w:rsidR="001715DD" w:rsidRPr="00EC7CFA">
        <w:rPr>
          <w:rFonts w:ascii="Times New Roman" w:hAnsi="Times New Roman" w:cs="Times New Roman"/>
          <w:sz w:val="28"/>
          <w:szCs w:val="28"/>
        </w:rPr>
        <w:t xml:space="preserve">процентные ставки не так стабильны, как инфляция. Наиболее приемлемо выглядит Россия, Таджикистан и Казахстан. </w:t>
      </w:r>
      <w:r w:rsidR="00C56382" w:rsidRPr="00EC7CFA">
        <w:rPr>
          <w:rFonts w:ascii="Times New Roman" w:hAnsi="Times New Roman" w:cs="Times New Roman"/>
          <w:sz w:val="28"/>
          <w:szCs w:val="28"/>
        </w:rPr>
        <w:t xml:space="preserve">Рост ставок, будет приводить к удорожанию заимствований, что может пошатнуть единую валюту. </w:t>
      </w:r>
    </w:p>
    <w:p w:rsidR="00CF30B7" w:rsidRDefault="00CF30B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эти два показателя (индекс потребительских цен и уровень процентных ставок) и оценим связь между ними.</w:t>
      </w: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15265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4619625</wp:posOffset>
            </wp:positionV>
            <wp:extent cx="4305300" cy="2362200"/>
            <wp:effectExtent l="19050" t="0" r="19050" b="0"/>
            <wp:wrapSquare wrapText="bothSides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67767" w:rsidRDefault="0036776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2295525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562225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343150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7767" w:rsidRDefault="00367767" w:rsidP="00367767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1391"/>
        <w:gridCol w:w="1631"/>
        <w:gridCol w:w="1529"/>
        <w:gridCol w:w="1701"/>
        <w:gridCol w:w="1701"/>
        <w:gridCol w:w="1916"/>
      </w:tblGrid>
      <w:tr w:rsidR="00CF30B7" w:rsidRPr="00CF30B7" w:rsidTr="00CF30B7">
        <w:trPr>
          <w:trHeight w:val="31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</w:tr>
      <w:tr w:rsidR="00CF30B7" w:rsidRPr="00CF30B7" w:rsidTr="00CF30B7">
        <w:trPr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регрессия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CF30B7" w:rsidRPr="00CF30B7" w:rsidTr="00CF30B7">
        <w:trPr>
          <w:trHeight w:val="58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отсутствует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слабая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отсутствует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отсутствует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0B7" w:rsidRPr="00CF30B7" w:rsidRDefault="00CF30B7" w:rsidP="00CF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отсутствует</w:t>
            </w:r>
          </w:p>
        </w:tc>
      </w:tr>
    </w:tbl>
    <w:p w:rsidR="00CF30B7" w:rsidRDefault="00CF30B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Связь между показателями отсутствует, кроме того, если проанализировать графики, то можно сделать</w:t>
      </w:r>
      <w:r w:rsidR="00836A04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страны проводят различную денежно-кредитную политику, что будет невозможно при введении единой валюты, тогда проблемы гибкости цен в отдельных странах будут сказываться на всех странах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>. С другой стороны, единая валюта окажет положительное влияние на стабильность денежно-кредитной политики</w:t>
      </w:r>
    </w:p>
    <w:p w:rsidR="00CF30B7" w:rsidRPr="00CF30B7" w:rsidRDefault="00CF30B7" w:rsidP="00CF30B7">
      <w:pPr>
        <w:pStyle w:val="ad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государственного долга.</w:t>
      </w:r>
    </w:p>
    <w:p w:rsidR="003C3EE4" w:rsidRPr="00EC7CFA" w:rsidRDefault="00C56382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 xml:space="preserve">Перейдём к следующему показателю: величина государственного долга. Рассмотрим этот показатель относительно уровня ВВП, что позволит сравнить страны друг с другом. </w:t>
      </w:r>
    </w:p>
    <w:p w:rsidR="003C3EE4" w:rsidRPr="00EC7CFA" w:rsidRDefault="00C56382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00DC" w:rsidRDefault="00C56382" w:rsidP="00EC7CFA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C7CFA">
        <w:rPr>
          <w:sz w:val="28"/>
          <w:szCs w:val="28"/>
        </w:rPr>
        <w:t>Уровень гос</w:t>
      </w:r>
      <w:r w:rsidR="00EC7CFA">
        <w:rPr>
          <w:sz w:val="28"/>
          <w:szCs w:val="28"/>
        </w:rPr>
        <w:t>ударственного</w:t>
      </w:r>
      <w:r w:rsidRPr="00EC7CFA">
        <w:rPr>
          <w:sz w:val="28"/>
          <w:szCs w:val="28"/>
        </w:rPr>
        <w:t xml:space="preserve"> долга в Кыргызстане достигает огромных значений, причем имеет тенденцию к увеличению. С точки зрения валютной интеграции, государственный долг Кыргызстана и Таджикистана может отрицательно влиять на курс единой валюты, так как увеличение  государственного долга в одной из стран ва</w:t>
      </w:r>
      <w:r w:rsidRPr="00EC7CFA">
        <w:rPr>
          <w:sz w:val="28"/>
          <w:szCs w:val="28"/>
        </w:rPr>
        <w:softHyphen/>
        <w:t xml:space="preserve">лютного союза может отразиться на величине процентных </w:t>
      </w:r>
      <w:proofErr w:type="gramStart"/>
      <w:r w:rsidRPr="00EC7CFA">
        <w:rPr>
          <w:sz w:val="28"/>
          <w:szCs w:val="28"/>
        </w:rPr>
        <w:t>ставок</w:t>
      </w:r>
      <w:proofErr w:type="gramEnd"/>
      <w:r w:rsidRPr="00EC7CFA">
        <w:rPr>
          <w:sz w:val="28"/>
          <w:szCs w:val="28"/>
        </w:rPr>
        <w:t xml:space="preserve"> на территории союза и, таким образом, </w:t>
      </w:r>
      <w:r w:rsidR="00EC7CFA">
        <w:rPr>
          <w:sz w:val="28"/>
          <w:szCs w:val="28"/>
        </w:rPr>
        <w:t>увеличить издержки</w:t>
      </w:r>
      <w:r w:rsidRPr="00EC7CFA">
        <w:rPr>
          <w:sz w:val="28"/>
          <w:szCs w:val="28"/>
        </w:rPr>
        <w:t xml:space="preserve"> по привлечению за</w:t>
      </w:r>
      <w:r w:rsidRPr="00EC7CFA">
        <w:rPr>
          <w:sz w:val="28"/>
          <w:szCs w:val="28"/>
        </w:rPr>
        <w:softHyphen/>
        <w:t>имствований для других его членов. А значительный рост заимствований всего ва</w:t>
      </w:r>
      <w:r w:rsidRPr="00EC7CFA">
        <w:rPr>
          <w:sz w:val="28"/>
          <w:szCs w:val="28"/>
        </w:rPr>
        <w:softHyphen/>
        <w:t xml:space="preserve">лютного союза может вызвать приток </w:t>
      </w:r>
      <w:r w:rsidRPr="00EC7CFA">
        <w:rPr>
          <w:sz w:val="28"/>
          <w:szCs w:val="28"/>
        </w:rPr>
        <w:lastRenderedPageBreak/>
        <w:t>капитала и привести к обесце</w:t>
      </w:r>
      <w:r w:rsidRPr="00EC7CFA">
        <w:rPr>
          <w:sz w:val="28"/>
          <w:szCs w:val="28"/>
        </w:rPr>
        <w:softHyphen/>
        <w:t>нению единой валюты, что отразится на конкурентоспособности то</w:t>
      </w:r>
      <w:r w:rsidRPr="00EC7CFA">
        <w:rPr>
          <w:sz w:val="28"/>
          <w:szCs w:val="28"/>
        </w:rPr>
        <w:softHyphen/>
        <w:t>варопроизводителей и темпах экономического роста.</w:t>
      </w:r>
    </w:p>
    <w:p w:rsidR="00367767" w:rsidRDefault="00367767" w:rsidP="00EC7CFA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принять во внимание тот факт, что при введении евро допустимая величина государственного долга была 60%, то валютная интеграция стран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относительно этого показателя выглядит вполне допустимо. </w:t>
      </w:r>
    </w:p>
    <w:p w:rsidR="00367767" w:rsidRPr="00EC7CFA" w:rsidRDefault="00367767" w:rsidP="00367767">
      <w:pPr>
        <w:pStyle w:val="a5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национальных валют</w:t>
      </w:r>
    </w:p>
    <w:p w:rsidR="00356B6B" w:rsidRDefault="006F00DC" w:rsidP="00575056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Одним из основных пре</w:t>
      </w:r>
      <w:r w:rsidRPr="00EC7CFA">
        <w:rPr>
          <w:rFonts w:ascii="Times New Roman" w:hAnsi="Times New Roman" w:cs="Times New Roman"/>
          <w:sz w:val="28"/>
          <w:szCs w:val="28"/>
        </w:rPr>
        <w:softHyphen/>
        <w:t>имуществ валютной интеграции является устранение тран</w:t>
      </w:r>
      <w:r w:rsidR="00575056">
        <w:rPr>
          <w:rFonts w:ascii="Times New Roman" w:hAnsi="Times New Roman" w:cs="Times New Roman"/>
          <w:sz w:val="28"/>
          <w:szCs w:val="28"/>
        </w:rPr>
        <w:t>з</w:t>
      </w:r>
      <w:r w:rsidRPr="00EC7CFA">
        <w:rPr>
          <w:rFonts w:ascii="Times New Roman" w:hAnsi="Times New Roman" w:cs="Times New Roman"/>
          <w:sz w:val="28"/>
          <w:szCs w:val="28"/>
        </w:rPr>
        <w:t xml:space="preserve">акционных издержек, присущих внешнеторговым операциям (например, комиссия по валютно-обменным операциям и ряд других). </w:t>
      </w:r>
      <w:r w:rsidR="00356B6B" w:rsidRPr="00356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257425"/>
            <wp:effectExtent l="19050" t="0" r="1905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6B6B" w:rsidRDefault="00356B6B" w:rsidP="008B0122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356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314575"/>
            <wp:effectExtent l="19050" t="0" r="19050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6B6B" w:rsidRDefault="00356B6B" w:rsidP="008B0122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638425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6B6B" w:rsidRDefault="00356B6B" w:rsidP="008B0122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0122" w:rsidRDefault="006F00DC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FA">
        <w:rPr>
          <w:rFonts w:ascii="Times New Roman" w:hAnsi="Times New Roman" w:cs="Times New Roman"/>
          <w:sz w:val="28"/>
          <w:szCs w:val="28"/>
        </w:rPr>
        <w:t>Проанализировав</w:t>
      </w:r>
      <w:r w:rsidR="00495BD7">
        <w:rPr>
          <w:rFonts w:ascii="Times New Roman" w:hAnsi="Times New Roman" w:cs="Times New Roman"/>
          <w:sz w:val="28"/>
          <w:szCs w:val="28"/>
        </w:rPr>
        <w:t xml:space="preserve"> данные, представленные на графике</w:t>
      </w:r>
      <w:r w:rsidRPr="00EC7CFA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введение рубля в качестве единой валюты </w:t>
      </w:r>
      <w:proofErr w:type="gramStart"/>
      <w:r w:rsidRPr="00EC7CF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C7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CFA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EC7CFA">
        <w:rPr>
          <w:rFonts w:ascii="Times New Roman" w:hAnsi="Times New Roman" w:cs="Times New Roman"/>
          <w:sz w:val="28"/>
          <w:szCs w:val="28"/>
        </w:rPr>
        <w:t xml:space="preserve"> волатильности курсов не приведет к большим</w:t>
      </w:r>
      <w:r w:rsidR="00356B6B">
        <w:rPr>
          <w:rFonts w:ascii="Times New Roman" w:hAnsi="Times New Roman" w:cs="Times New Roman"/>
          <w:sz w:val="28"/>
          <w:szCs w:val="28"/>
        </w:rPr>
        <w:t xml:space="preserve"> издержкам при интеграции стран и упростит фиксацию валют относительно друг друга. </w:t>
      </w:r>
      <w:r w:rsidRPr="00EC7CFA">
        <w:rPr>
          <w:rFonts w:ascii="Times New Roman" w:hAnsi="Times New Roman" w:cs="Times New Roman"/>
          <w:sz w:val="28"/>
          <w:szCs w:val="28"/>
        </w:rPr>
        <w:t xml:space="preserve"> </w:t>
      </w:r>
      <w:r w:rsidR="008B0122">
        <w:rPr>
          <w:rFonts w:ascii="Times New Roman" w:hAnsi="Times New Roman" w:cs="Times New Roman"/>
          <w:sz w:val="28"/>
          <w:szCs w:val="28"/>
        </w:rPr>
        <w:t>Еще одно доказательство этого факта – зависимость курса национальных валют по отношению к доллару и рублю.</w:t>
      </w: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1152"/>
        <w:gridCol w:w="1073"/>
        <w:gridCol w:w="1400"/>
        <w:gridCol w:w="1315"/>
        <w:gridCol w:w="1445"/>
      </w:tblGrid>
      <w:tr w:rsidR="008B0122" w:rsidRPr="008B0122" w:rsidTr="008B0122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Кырг</w:t>
            </w: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ызстан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</w:tr>
      <w:tr w:rsidR="008B0122" w:rsidRPr="008B0122" w:rsidTr="008B012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регрессия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0,64</w:t>
            </w:r>
          </w:p>
        </w:tc>
      </w:tr>
      <w:tr w:rsidR="008B0122" w:rsidRPr="008B0122" w:rsidTr="008B0122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связь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сильная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отсутствует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отсутствует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122" w:rsidRPr="008B0122" w:rsidRDefault="008B0122" w:rsidP="008B0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0122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слабая</w:t>
            </w:r>
          </w:p>
        </w:tc>
      </w:tr>
    </w:tbl>
    <w:p w:rsidR="008B0122" w:rsidRDefault="008B0122" w:rsidP="008B0122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Связь разных валют различная и в большинстве случаев не зависит от доллара, что ещё раз подтверждает необходимость введения рубля в качестве единой валюты.</w:t>
      </w:r>
    </w:p>
    <w:p w:rsidR="006F00DC" w:rsidRDefault="006F00DC" w:rsidP="00EC7CFA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CFA">
        <w:rPr>
          <w:rFonts w:ascii="Times New Roman" w:eastAsia="Calibri" w:hAnsi="Times New Roman" w:cs="Times New Roman"/>
          <w:sz w:val="28"/>
          <w:szCs w:val="28"/>
        </w:rPr>
        <w:t xml:space="preserve">Рубль, обладающий полной конвертируемостью, несомненно, может стать ведущей валютой в </w:t>
      </w:r>
      <w:proofErr w:type="spellStart"/>
      <w:r w:rsidRPr="00EC7CFA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Pr="00EC7CFA">
        <w:rPr>
          <w:rFonts w:ascii="Times New Roman" w:eastAsia="Calibri" w:hAnsi="Times New Roman" w:cs="Times New Roman"/>
          <w:sz w:val="28"/>
          <w:szCs w:val="28"/>
        </w:rPr>
        <w:t>. Но уже сейчас целесообразно сделать первые шаги в этом направлении. Прежде всего, необходимо обеспечить регулярную котировку рубля и валют других стран «пятерки» и вводить в практику расчеты в этих валютах, обменивая их не через доллар, а напрямую.</w:t>
      </w:r>
    </w:p>
    <w:p w:rsidR="008B0122" w:rsidRDefault="008B0122" w:rsidP="008B0122">
      <w:pPr>
        <w:pStyle w:val="ad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Профицит платежного баланса</w:t>
      </w:r>
    </w:p>
    <w:p w:rsidR="008B0122" w:rsidRPr="005B058A" w:rsidRDefault="008B0122" w:rsidP="008B0122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проанализировать платежны</w:t>
      </w:r>
      <w:r w:rsidR="005671E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баланс</w:t>
      </w:r>
      <w:r w:rsidR="005671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671E8">
        <w:rPr>
          <w:sz w:val="28"/>
          <w:szCs w:val="28"/>
        </w:rPr>
        <w:t>государств</w:t>
      </w:r>
      <w:r w:rsidRPr="008B0122">
        <w:rPr>
          <w:sz w:val="28"/>
          <w:szCs w:val="28"/>
        </w:rPr>
        <w:t xml:space="preserve"> </w:t>
      </w:r>
      <w:proofErr w:type="spellStart"/>
      <w:r w:rsidRPr="008B0122">
        <w:rPr>
          <w:sz w:val="28"/>
          <w:szCs w:val="28"/>
        </w:rPr>
        <w:t>ЕврАзЭс</w:t>
      </w:r>
      <w:proofErr w:type="spellEnd"/>
      <w:r w:rsidRPr="008B0122">
        <w:rPr>
          <w:sz w:val="28"/>
          <w:szCs w:val="28"/>
        </w:rPr>
        <w:t xml:space="preserve"> и оценить масштабы внешней торговли стран. </w:t>
      </w:r>
      <w:proofErr w:type="gramStart"/>
      <w:r w:rsidRPr="008B0122">
        <w:rPr>
          <w:sz w:val="28"/>
          <w:szCs w:val="28"/>
        </w:rPr>
        <w:t>Если будет получено, что определенная группа стран характеризуется ста</w:t>
      </w:r>
      <w:r w:rsidRPr="008B0122">
        <w:rPr>
          <w:sz w:val="28"/>
          <w:szCs w:val="28"/>
        </w:rPr>
        <w:softHyphen/>
        <w:t>бильным профицитом платежного баланса, то этот факт можно рассматривать в качестве положительного аргумента в пользу инте</w:t>
      </w:r>
      <w:r w:rsidRPr="008B0122">
        <w:rPr>
          <w:sz w:val="28"/>
          <w:szCs w:val="28"/>
        </w:rPr>
        <w:softHyphen/>
        <w:t>грации, поскольку в данном случае будет гарантироваться стабиль</w:t>
      </w:r>
      <w:r w:rsidRPr="008B0122">
        <w:rPr>
          <w:sz w:val="28"/>
          <w:szCs w:val="28"/>
        </w:rPr>
        <w:softHyphen/>
        <w:t>ность единой валюты как за счет самого профицита ба</w:t>
      </w:r>
      <w:r w:rsidRPr="008B0122">
        <w:rPr>
          <w:sz w:val="28"/>
          <w:szCs w:val="28"/>
        </w:rPr>
        <w:softHyphen/>
        <w:t>ланса, так и за счет увеличения «глубины» и «шири</w:t>
      </w:r>
      <w:r w:rsidRPr="008B0122">
        <w:rPr>
          <w:sz w:val="28"/>
          <w:szCs w:val="28"/>
        </w:rPr>
        <w:softHyphen/>
        <w:t>ны» рынка единой валюты, гарантирующих его относительно более низкую волатильность.</w:t>
      </w:r>
      <w:proofErr w:type="gramEnd"/>
    </w:p>
    <w:p w:rsidR="00420515" w:rsidRDefault="00420515" w:rsidP="008B0122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платежного баланса рассмотрим величину платежей стран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в Россию и из России. </w:t>
      </w:r>
    </w:p>
    <w:tbl>
      <w:tblPr>
        <w:tblW w:w="11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420515" w:rsidRPr="00420515" w:rsidTr="00420515">
        <w:trPr>
          <w:trHeight w:val="30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2006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2010</w:t>
            </w:r>
          </w:p>
        </w:tc>
      </w:tr>
      <w:tr w:rsidR="00420515" w:rsidRPr="00420515" w:rsidTr="00420515">
        <w:trPr>
          <w:trHeight w:val="1932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0515" w:rsidRPr="00420515" w:rsidRDefault="00420515" w:rsidP="0042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Россию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сальдо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Россию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сальдо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Россию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сальдо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Россию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сальдо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Россию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из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сальдо</w:t>
            </w:r>
          </w:p>
        </w:tc>
      </w:tr>
      <w:tr w:rsidR="00420515" w:rsidRPr="00420515" w:rsidTr="00420515">
        <w:trPr>
          <w:trHeight w:val="55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Беларусь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5651</w:t>
            </w:r>
          </w:p>
        </w:tc>
      </w:tr>
      <w:tr w:rsidR="00420515" w:rsidRPr="00420515" w:rsidTr="0042051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Казахстан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6557</w:t>
            </w:r>
          </w:p>
        </w:tc>
      </w:tr>
      <w:tr w:rsidR="00420515" w:rsidRPr="00420515" w:rsidTr="00420515">
        <w:trPr>
          <w:trHeight w:val="30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Кыргызстан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388</w:t>
            </w:r>
          </w:p>
        </w:tc>
      </w:tr>
      <w:tr w:rsidR="00420515" w:rsidRPr="00420515" w:rsidTr="00420515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Таджикистан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20515" w:rsidRPr="00420515" w:rsidRDefault="00420515" w:rsidP="0042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05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293</w:t>
            </w:r>
          </w:p>
        </w:tc>
      </w:tr>
    </w:tbl>
    <w:p w:rsidR="00420515" w:rsidRPr="00420515" w:rsidRDefault="00420515" w:rsidP="00420515">
      <w:pPr>
        <w:pStyle w:val="a5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0262C8" w:rsidRDefault="00420515" w:rsidP="008B0122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2051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36290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62C8" w:rsidRDefault="00E0281B" w:rsidP="008B0122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Сальдо платежей в основном положительное, что говорит о том, что страны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прочно связаны с Россией. </w:t>
      </w:r>
      <w:r w:rsidR="00816D98">
        <w:rPr>
          <w:sz w:val="28"/>
          <w:szCs w:val="28"/>
        </w:rPr>
        <w:t>Кроме того, при положительном балансе рубль можно использовать в качестве резервной валюты, что позволит сглаживать различные шоки. Проанализируем использование рубля при двусторонних расчетах с остальными странами.</w:t>
      </w:r>
    </w:p>
    <w:tbl>
      <w:tblPr>
        <w:tblW w:w="7261" w:type="dxa"/>
        <w:tblInd w:w="93" w:type="dxa"/>
        <w:tblLook w:val="04A0" w:firstRow="1" w:lastRow="0" w:firstColumn="1" w:lastColumn="0" w:noHBand="0" w:noVBand="1"/>
      </w:tblPr>
      <w:tblGrid>
        <w:gridCol w:w="1804"/>
        <w:gridCol w:w="1431"/>
        <w:gridCol w:w="1591"/>
        <w:gridCol w:w="1341"/>
        <w:gridCol w:w="1591"/>
        <w:gridCol w:w="1341"/>
      </w:tblGrid>
      <w:tr w:rsidR="00816D98" w:rsidRPr="00816D98" w:rsidTr="00816D98">
        <w:trPr>
          <w:trHeight w:val="315"/>
        </w:trPr>
        <w:tc>
          <w:tcPr>
            <w:tcW w:w="72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рублевых платежей в общем объеме платежей</w:t>
            </w:r>
          </w:p>
        </w:tc>
      </w:tr>
      <w:tr w:rsidR="00816D98" w:rsidRPr="00816D98" w:rsidTr="00816D98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816D98" w:rsidRPr="00816D98" w:rsidTr="00816D9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</w:t>
            </w:r>
          </w:p>
        </w:tc>
      </w:tr>
      <w:tr w:rsidR="00816D98" w:rsidRPr="00816D98" w:rsidTr="00816D9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еларусь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816D98" w:rsidRPr="00816D98" w:rsidTr="00816D9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816D98" w:rsidRPr="00816D98" w:rsidTr="00816D98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</w:tr>
      <w:tr w:rsidR="00816D98" w:rsidRPr="00816D98" w:rsidTr="00816D9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D98" w:rsidRPr="00816D98" w:rsidRDefault="00816D98" w:rsidP="00816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</w:tbl>
    <w:p w:rsidR="00816D98" w:rsidRPr="005B70F5" w:rsidRDefault="005B70F5" w:rsidP="005B70F5">
      <w:pPr>
        <w:pStyle w:val="Default"/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в</w:t>
      </w:r>
      <w:r w:rsidR="00816D98" w:rsidRPr="00816D98">
        <w:rPr>
          <w:rFonts w:ascii="Times New Roman" w:hAnsi="Times New Roman" w:cs="Times New Roman"/>
          <w:sz w:val="28"/>
          <w:szCs w:val="28"/>
        </w:rPr>
        <w:t xml:space="preserve"> валютной структуре платежей преобладает российский рубль</w:t>
      </w:r>
      <w:r w:rsidR="00816D98">
        <w:rPr>
          <w:rFonts w:ascii="Times New Roman" w:hAnsi="Times New Roman" w:cs="Times New Roman"/>
          <w:sz w:val="28"/>
          <w:szCs w:val="28"/>
        </w:rPr>
        <w:t xml:space="preserve">, по направленным </w:t>
      </w:r>
      <w:r>
        <w:rPr>
          <w:rFonts w:ascii="Times New Roman" w:hAnsi="Times New Roman" w:cs="Times New Roman"/>
          <w:sz w:val="28"/>
          <w:szCs w:val="28"/>
        </w:rPr>
        <w:t>платежам особенно.</w:t>
      </w:r>
      <w:r w:rsidR="0081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6D98" w:rsidRPr="005B70F5">
        <w:rPr>
          <w:rFonts w:ascii="Times New Roman" w:hAnsi="Times New Roman" w:cs="Times New Roman"/>
          <w:sz w:val="28"/>
          <w:szCs w:val="28"/>
        </w:rPr>
        <w:t xml:space="preserve"> общем объеме </w:t>
      </w:r>
      <w:r w:rsidRPr="005B70F5">
        <w:rPr>
          <w:rFonts w:ascii="Times New Roman" w:hAnsi="Times New Roman" w:cs="Times New Roman"/>
          <w:sz w:val="28"/>
          <w:szCs w:val="28"/>
        </w:rPr>
        <w:t>его использование в 2008г составило</w:t>
      </w:r>
      <w:r w:rsidR="00816D98" w:rsidRPr="005B70F5">
        <w:rPr>
          <w:rFonts w:ascii="Times New Roman" w:hAnsi="Times New Roman" w:cs="Times New Roman"/>
          <w:sz w:val="28"/>
          <w:szCs w:val="28"/>
        </w:rPr>
        <w:t xml:space="preserve"> по объему – 53,6% по направленным платежам, 51,5% по полученным платежам и 52,6% в целом по направленным и полученным платежам, Вторым по значению компонентом валютной структуры платежей продолжает оставаться доллар США:</w:t>
      </w:r>
      <w:r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="00816D98" w:rsidRPr="005B70F5">
        <w:rPr>
          <w:rFonts w:ascii="Times New Roman" w:hAnsi="Times New Roman" w:cs="Times New Roman"/>
          <w:sz w:val="28"/>
          <w:szCs w:val="28"/>
        </w:rPr>
        <w:t xml:space="preserve">по объему - 32,9%, 34,5% и </w:t>
      </w:r>
      <w:r w:rsidR="00816D98" w:rsidRPr="005B70F5">
        <w:rPr>
          <w:rFonts w:ascii="Times New Roman" w:hAnsi="Times New Roman" w:cs="Times New Roman"/>
          <w:sz w:val="28"/>
          <w:szCs w:val="28"/>
        </w:rPr>
        <w:lastRenderedPageBreak/>
        <w:t>33,6% соответственно.</w:t>
      </w:r>
      <w:r w:rsidRPr="005B70F5">
        <w:rPr>
          <w:rFonts w:ascii="Times New Roman" w:hAnsi="Times New Roman" w:cs="Times New Roman"/>
          <w:sz w:val="28"/>
          <w:szCs w:val="28"/>
        </w:rPr>
        <w:t xml:space="preserve"> В общем объеме направленных и полученных платежей доля российского рубля также оставалась наибольшей, однако сократилась с 52,6% в 2008 году до 48,8% в 2009 году. Доля платежей в долларах США в общем объеме направленных и полученных платежей за 2009 год выросла и составила 40,6%. В 2010 году в валютной структуре направленных и полученных платежей государств–участников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 xml:space="preserve"> как по количеству, так и по объему преобладали платежи в российских рублях: 77,6 и 56,0% соответственно. Доля платежей в долларах США в общем количестве и объеме составила 14,3 и 35,0%</w:t>
      </w:r>
    </w:p>
    <w:p w:rsidR="000262C8" w:rsidRDefault="005B70F5" w:rsidP="005B70F5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 инвестиции из стран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 xml:space="preserve"> в экономику России и наоборот.</w:t>
      </w:r>
    </w:p>
    <w:p w:rsidR="005B70F5" w:rsidRDefault="005B70F5" w:rsidP="005B70F5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B70F5">
        <w:rPr>
          <w:noProof/>
          <w:sz w:val="28"/>
          <w:szCs w:val="28"/>
          <w:lang w:eastAsia="ru-RU"/>
        </w:rPr>
        <w:drawing>
          <wp:inline distT="0" distB="0" distL="0" distR="0">
            <wp:extent cx="4591051" cy="2971800"/>
            <wp:effectExtent l="19050" t="0" r="19049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70F5" w:rsidRDefault="005B70F5" w:rsidP="005B70F5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B70F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70F5" w:rsidRPr="005B70F5" w:rsidRDefault="005B70F5" w:rsidP="005B70F5">
      <w:pPr>
        <w:pStyle w:val="a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B70F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62C8" w:rsidRDefault="005B70F5" w:rsidP="005B70F5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5B70F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B70F5" w:rsidRDefault="005B70F5" w:rsidP="005B70F5">
      <w:pPr>
        <w:pStyle w:val="a5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</w:p>
    <w:p w:rsidR="000262C8" w:rsidRDefault="005B70F5" w:rsidP="005B70F5">
      <w:pPr>
        <w:pStyle w:val="a5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Профицит полученных и направленных инвестиций</w:t>
      </w:r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146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62C8" w:rsidRPr="000262C8" w:rsidTr="005B70F5">
        <w:trPr>
          <w:trHeight w:val="72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</w:tr>
      <w:tr w:rsidR="000262C8" w:rsidRPr="000262C8" w:rsidTr="005B70F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62C8" w:rsidRPr="000262C8" w:rsidTr="005B70F5">
        <w:trPr>
          <w:trHeight w:val="6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всего,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-0,993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377,135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-4704,6</w:t>
            </w:r>
          </w:p>
        </w:tc>
      </w:tr>
      <w:tr w:rsidR="000262C8" w:rsidRPr="000262C8" w:rsidTr="005B70F5">
        <w:trPr>
          <w:trHeight w:val="9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прямые инвестиции,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-662,6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-627</w:t>
            </w:r>
          </w:p>
        </w:tc>
      </w:tr>
      <w:tr w:rsidR="000262C8" w:rsidRPr="000262C8" w:rsidTr="005B70F5">
        <w:trPr>
          <w:trHeight w:val="3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62C8" w:rsidRPr="000262C8" w:rsidTr="005B70F5">
        <w:trPr>
          <w:trHeight w:val="6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всего,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588,7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498,1</w:t>
            </w:r>
          </w:p>
        </w:tc>
      </w:tr>
      <w:tr w:rsidR="000262C8" w:rsidRPr="000262C8" w:rsidTr="005B70F5">
        <w:trPr>
          <w:trHeight w:val="9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прямые инвестиции,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0262C8" w:rsidRPr="000262C8" w:rsidTr="005B70F5">
        <w:trPr>
          <w:trHeight w:val="3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62C8" w:rsidRPr="000262C8" w:rsidTr="005B70F5">
        <w:trPr>
          <w:trHeight w:val="6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всего,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137,997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118,4</w:t>
            </w:r>
          </w:p>
        </w:tc>
      </w:tr>
      <w:tr w:rsidR="000262C8" w:rsidRPr="000262C8" w:rsidTr="005B70F5">
        <w:trPr>
          <w:trHeight w:val="9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прямые инвестиции,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262C8" w:rsidRPr="000262C8" w:rsidTr="005B70F5">
        <w:trPr>
          <w:trHeight w:val="3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62C8" w:rsidRPr="000262C8" w:rsidTr="005B70F5">
        <w:trPr>
          <w:trHeight w:val="6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всего, </w:t>
            </w:r>
            <w:proofErr w:type="gramStart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026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13,347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2C8" w:rsidRPr="000262C8" w:rsidRDefault="000262C8" w:rsidP="00026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62C8">
              <w:rPr>
                <w:rFonts w:ascii="Calibri" w:eastAsia="Times New Roman" w:hAnsi="Calibri" w:cs="Times New Roman"/>
                <w:color w:val="000000"/>
                <w:lang w:eastAsia="ru-RU"/>
              </w:rPr>
              <w:t>-83,016</w:t>
            </w:r>
          </w:p>
        </w:tc>
      </w:tr>
    </w:tbl>
    <w:p w:rsidR="005B70F5" w:rsidRDefault="005B70F5" w:rsidP="005B70F5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8B0122" w:rsidRPr="008B0122" w:rsidRDefault="005B70F5" w:rsidP="005B70F5">
      <w:pPr>
        <w:pStyle w:val="a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 в Россию направлены со всех стран </w:t>
      </w:r>
      <w:proofErr w:type="spellStart"/>
      <w:r>
        <w:rPr>
          <w:sz w:val="28"/>
          <w:szCs w:val="28"/>
        </w:rPr>
        <w:t>ЕврАзЭС</w:t>
      </w:r>
      <w:proofErr w:type="spellEnd"/>
      <w:r>
        <w:rPr>
          <w:sz w:val="28"/>
          <w:szCs w:val="28"/>
        </w:rPr>
        <w:t>, к тому же в России наблюдает</w:t>
      </w:r>
      <w:r w:rsidR="009D10C6">
        <w:rPr>
          <w:sz w:val="28"/>
          <w:szCs w:val="28"/>
        </w:rPr>
        <w:t>ся</w:t>
      </w:r>
      <w:r>
        <w:rPr>
          <w:sz w:val="28"/>
          <w:szCs w:val="28"/>
        </w:rPr>
        <w:t xml:space="preserve"> профицит по инвестициям, поэтому Россия является той страной-донором, за счет которой можно сглаживать шоки.</w:t>
      </w:r>
    </w:p>
    <w:p w:rsidR="00A13FED" w:rsidRPr="005B70F5" w:rsidRDefault="00A13FED" w:rsidP="005B70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sz w:val="28"/>
          <w:szCs w:val="28"/>
        </w:rPr>
        <w:t xml:space="preserve">В целом взаимные инвестиционные потоки стран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 xml:space="preserve"> не столь значимы в их валовых инвестициях. Как правило, страны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 xml:space="preserve"> ориентируются на </w:t>
      </w:r>
      <w:r w:rsidR="00EE387C">
        <w:rPr>
          <w:rFonts w:ascii="Times New Roman" w:hAnsi="Times New Roman" w:cs="Times New Roman"/>
          <w:sz w:val="28"/>
          <w:szCs w:val="28"/>
        </w:rPr>
        <w:t xml:space="preserve">прямые иностранные инвестиции </w:t>
      </w:r>
      <w:r w:rsidRPr="005B70F5">
        <w:rPr>
          <w:rFonts w:ascii="Times New Roman" w:hAnsi="Times New Roman" w:cs="Times New Roman"/>
          <w:sz w:val="28"/>
          <w:szCs w:val="28"/>
        </w:rPr>
        <w:t xml:space="preserve"> из развитых стран,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которые подразумевают более высокий уровень внедряемых технологий. Кроме того, для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 xml:space="preserve">развития взаимного инвестирования, на сегодняшний день существует ряд препятствий. </w:t>
      </w:r>
      <w:proofErr w:type="gramStart"/>
      <w:r w:rsidRPr="005B70F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70F5">
        <w:rPr>
          <w:rFonts w:ascii="Times New Roman" w:hAnsi="Times New Roman" w:cs="Times New Roman"/>
          <w:sz w:val="28"/>
          <w:szCs w:val="28"/>
        </w:rPr>
        <w:t>-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первых, существенные различия в структуре экономик ст</w:t>
      </w:r>
      <w:r w:rsidR="005B70F5">
        <w:rPr>
          <w:rFonts w:ascii="Times New Roman" w:hAnsi="Times New Roman" w:cs="Times New Roman"/>
          <w:sz w:val="28"/>
          <w:szCs w:val="28"/>
        </w:rPr>
        <w:t xml:space="preserve">ран </w:t>
      </w:r>
      <w:proofErr w:type="spellStart"/>
      <w:r w:rsid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5B70F5">
        <w:rPr>
          <w:rFonts w:ascii="Times New Roman" w:hAnsi="Times New Roman" w:cs="Times New Roman"/>
          <w:sz w:val="28"/>
          <w:szCs w:val="28"/>
        </w:rPr>
        <w:t>, что уже потенциаль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но ограничивает взаимные </w:t>
      </w:r>
      <w:r w:rsidRPr="005B70F5">
        <w:rPr>
          <w:rFonts w:ascii="Times New Roman" w:hAnsi="Times New Roman" w:cs="Times New Roman"/>
          <w:sz w:val="28"/>
          <w:szCs w:val="28"/>
        </w:rPr>
        <w:t>инвестиционные потоки. Во-вторых, уровень технологического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 xml:space="preserve">развития отраслей экономики относительно однороден в большинстве стран, что также снижает мотивацию </w:t>
      </w:r>
      <w:r w:rsidRPr="005B70F5">
        <w:rPr>
          <w:rFonts w:ascii="Times New Roman" w:hAnsi="Times New Roman" w:cs="Times New Roman"/>
          <w:sz w:val="28"/>
          <w:szCs w:val="28"/>
        </w:rPr>
        <w:lastRenderedPageBreak/>
        <w:t>взаимного инвестирования. В-третьих, все страны в первую очередь ориентированы на привлечение иностранного капитала, нежели на его инвестирование за границу. В-четвертых, до сих пор не решен ряд фундаментальных вопросов в рам</w:t>
      </w:r>
      <w:r w:rsidR="00EE387C">
        <w:rPr>
          <w:rFonts w:ascii="Times New Roman" w:hAnsi="Times New Roman" w:cs="Times New Roman"/>
          <w:sz w:val="28"/>
          <w:szCs w:val="28"/>
        </w:rPr>
        <w:t>к</w:t>
      </w:r>
      <w:r w:rsidRPr="005B70F5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>, в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частности создание полноценного таможенного союза, гармонизация законодательства в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области торговой, инвестиционной, валютной и других видов политики. Таким образом, на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наш взгляд, данные факторы снижают потенциальный объем взаимных инвестиций внутри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>. В их случае, перечисленные факторы не столь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актуальны: помимо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</w:rPr>
        <w:t>импорта капитала они могут выступать и его экспортерами, а уровень их</w:t>
      </w:r>
      <w:r w:rsidR="005B70F5" w:rsidRPr="005B70F5">
        <w:rPr>
          <w:rFonts w:ascii="Times New Roman" w:hAnsi="Times New Roman" w:cs="Times New Roman"/>
          <w:sz w:val="28"/>
          <w:szCs w:val="28"/>
        </w:rPr>
        <w:t xml:space="preserve"> технологического развития </w:t>
      </w:r>
      <w:r w:rsidRPr="005B70F5">
        <w:rPr>
          <w:rFonts w:ascii="Times New Roman" w:hAnsi="Times New Roman" w:cs="Times New Roman"/>
          <w:sz w:val="28"/>
          <w:szCs w:val="28"/>
        </w:rPr>
        <w:t>несколько превышает уровень большинства стран региона.</w:t>
      </w:r>
    </w:p>
    <w:p w:rsidR="00C56382" w:rsidRDefault="00EA17E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 работе критерии представим в виде алгоритма:</w:t>
      </w: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A17E7" w:rsidRDefault="00EA17E7" w:rsidP="00EA17E7">
      <w:pPr>
        <w:tabs>
          <w:tab w:val="left" w:pos="7110"/>
        </w:tabs>
      </w:pPr>
    </w:p>
    <w:p w:rsidR="00EE387C" w:rsidRDefault="00EE387C" w:rsidP="00EA17E7">
      <w:pPr>
        <w:tabs>
          <w:tab w:val="left" w:pos="7110"/>
        </w:tabs>
      </w:pPr>
      <w:bookmarkStart w:id="0" w:name="_GoBack"/>
      <w:bookmarkEnd w:id="0"/>
    </w:p>
    <w:p w:rsidR="00EA17E7" w:rsidRDefault="00E91B3C" w:rsidP="00E228A3">
      <w:pPr>
        <w:tabs>
          <w:tab w:val="left" w:pos="7110"/>
        </w:tabs>
        <w:jc w:val="center"/>
      </w:pPr>
      <w:r>
        <w:rPr>
          <w:noProof/>
          <w:lang w:eastAsia="ru-RU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left:0;text-align:left;margin-left:148.95pt;margin-top:10.15pt;width:177pt;height:61.5pt;z-index:251674624">
            <v:textbox style="mso-next-textbox:#_x0000_s1040">
              <w:txbxContent>
                <w:p w:rsidR="00EA17E7" w:rsidRPr="003D01B0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Статистические данные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ряда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3.75pt;margin-top:-15.35pt;width:0;height:25.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8" style="position:absolute;left:0;text-align:left;margin-left:190.2pt;margin-top:-52.85pt;width:117.75pt;height:37.5pt;z-index:251672576">
            <v:textbox style="mso-next-textbox:#_x0000_s1038">
              <w:txbxContent>
                <w:p w:rsidR="00EA17E7" w:rsidRPr="003D01B0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oval>
        </w:pict>
      </w:r>
    </w:p>
    <w:p w:rsidR="00EA17E7" w:rsidRDefault="00EA17E7" w:rsidP="00EA17E7">
      <w:pPr>
        <w:tabs>
          <w:tab w:val="left" w:pos="7110"/>
        </w:tabs>
        <w:jc w:val="center"/>
      </w:pPr>
    </w:p>
    <w:p w:rsidR="00EA17E7" w:rsidRPr="00701873" w:rsidRDefault="00E91B3C" w:rsidP="00EA17E7">
      <w:r>
        <w:rPr>
          <w:noProof/>
          <w:lang w:eastAsia="ru-RU"/>
        </w:rPr>
        <w:pict>
          <v:shape id="_x0000_s1035" type="#_x0000_t32" style="position:absolute;margin-left:243.75pt;margin-top:20.75pt;width:0;height:27.75pt;z-index:251669504" o:connectortype="straight">
            <v:stroke endarrow="block"/>
          </v:shape>
        </w:pict>
      </w:r>
    </w:p>
    <w:p w:rsidR="00EA17E7" w:rsidRPr="00701873" w:rsidRDefault="00E91B3C" w:rsidP="00EA17E7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126pt;margin-top:23.05pt;width:233.25pt;height:96pt;z-index:251660288">
            <v:textbox style="mso-next-textbox:#_x0000_s1026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Схожий уровень инфляции и процентных ставок</w:t>
                  </w:r>
                </w:p>
              </w:txbxContent>
            </v:textbox>
          </v:shape>
        </w:pict>
      </w:r>
    </w:p>
    <w:p w:rsidR="00EA17E7" w:rsidRDefault="00EA17E7" w:rsidP="00EA17E7">
      <w:pPr>
        <w:tabs>
          <w:tab w:val="left" w:pos="3195"/>
        </w:tabs>
      </w:pPr>
      <w:r>
        <w:tab/>
      </w:r>
    </w:p>
    <w:p w:rsidR="00EA17E7" w:rsidRDefault="00E91B3C" w:rsidP="00EA17E7">
      <w:pPr>
        <w:tabs>
          <w:tab w:val="left" w:pos="7305"/>
        </w:tabs>
      </w:pPr>
      <w:r>
        <w:rPr>
          <w:noProof/>
          <w:lang w:eastAsia="ru-RU"/>
        </w:rPr>
        <w:pict>
          <v:shape id="_x0000_s1030" type="#_x0000_t32" style="position:absolute;margin-left:356.2pt;margin-top:20.15pt;width:117.75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473.95pt;margin-top:20.15pt;width:.05pt;height:466.5pt;z-index:251665408" o:connectortype="straight">
            <v:stroke endarrow="block"/>
          </v:shape>
        </w:pict>
      </w:r>
      <w:r w:rsidR="00EA17E7" w:rsidRPr="00AA7ADA">
        <w:t xml:space="preserve">    </w:t>
      </w:r>
      <w:r w:rsidR="00EA17E7">
        <w:tab/>
      </w:r>
      <w:r w:rsidR="00E228A3" w:rsidRPr="001B72CF">
        <w:t xml:space="preserve">                 </w:t>
      </w:r>
      <w:r w:rsidR="00EA17E7">
        <w:t>НЕТ</w:t>
      </w:r>
    </w:p>
    <w:p w:rsidR="00EA17E7" w:rsidRDefault="00EA17E7" w:rsidP="00EA17E7"/>
    <w:p w:rsidR="00EA17E7" w:rsidRDefault="00E91B3C" w:rsidP="00EA17E7">
      <w:pPr>
        <w:tabs>
          <w:tab w:val="left" w:pos="7065"/>
        </w:tabs>
      </w:pPr>
      <w:r>
        <w:rPr>
          <w:noProof/>
          <w:lang w:eastAsia="ru-RU"/>
        </w:rPr>
        <w:pict>
          <v:shape id="_x0000_s1036" type="#_x0000_t32" style="position:absolute;margin-left:243.75pt;margin-top:17.3pt;width:0;height:33pt;z-index:251670528" o:connectortype="straight">
            <v:stroke endarrow="block"/>
          </v:shape>
        </w:pict>
      </w:r>
    </w:p>
    <w:p w:rsidR="00EA17E7" w:rsidRDefault="00EA17E7" w:rsidP="00EA17E7">
      <w:pPr>
        <w:tabs>
          <w:tab w:val="left" w:pos="7065"/>
        </w:tabs>
      </w:pPr>
      <w:r>
        <w:t xml:space="preserve">                                                 </w:t>
      </w:r>
      <w:r w:rsidR="00E228A3" w:rsidRPr="001B72CF">
        <w:t xml:space="preserve">                              </w:t>
      </w:r>
      <w:r>
        <w:t xml:space="preserve">         ДА</w:t>
      </w:r>
      <w:r>
        <w:tab/>
      </w:r>
    </w:p>
    <w:p w:rsidR="00EA17E7" w:rsidRPr="003952F2" w:rsidRDefault="00E91B3C" w:rsidP="00EA17E7">
      <w:r>
        <w:rPr>
          <w:noProof/>
          <w:lang w:eastAsia="ru-RU"/>
        </w:rPr>
        <w:pict>
          <v:shape id="_x0000_s1027" type="#_x0000_t4" style="position:absolute;margin-left:115.2pt;margin-top:-.6pt;width:255pt;height:101.25pt;z-index:251661312">
            <v:textbox style="mso-next-textbox:#_x0000_s1027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 государственный долга по отношению к ВВП</w:t>
                  </w:r>
                </w:p>
              </w:txbxContent>
            </v:textbox>
          </v:shape>
        </w:pict>
      </w:r>
    </w:p>
    <w:p w:rsidR="00EA17E7" w:rsidRPr="003952F2" w:rsidRDefault="00E91B3C" w:rsidP="00EA17E7">
      <w:r>
        <w:rPr>
          <w:noProof/>
          <w:lang w:eastAsia="ru-RU"/>
        </w:rPr>
        <w:pict>
          <v:shape id="_x0000_s1032" type="#_x0000_t32" style="position:absolute;margin-left:370.2pt;margin-top:24.2pt;width:102.75pt;height:0;z-index:251666432" o:connectortype="straight"/>
        </w:pict>
      </w:r>
      <w:r w:rsidR="00EA17E7">
        <w:t xml:space="preserve">                                                                                                                                              </w:t>
      </w:r>
      <w:r w:rsidR="00E228A3" w:rsidRPr="001B72CF">
        <w:t xml:space="preserve">               </w:t>
      </w:r>
      <w:r w:rsidR="00EA17E7">
        <w:t xml:space="preserve">     НЕТ</w:t>
      </w:r>
    </w:p>
    <w:p w:rsidR="00EA17E7" w:rsidRPr="003952F2" w:rsidRDefault="00EA17E7" w:rsidP="00EA17E7"/>
    <w:p w:rsidR="00EA17E7" w:rsidRDefault="00E91B3C" w:rsidP="00EA17E7">
      <w:r>
        <w:rPr>
          <w:noProof/>
          <w:lang w:eastAsia="ru-RU"/>
        </w:rPr>
        <w:pict>
          <v:shape id="_x0000_s1037" type="#_x0000_t32" style="position:absolute;margin-left:243.75pt;margin-top:24.35pt;width:0;height:24.75pt;z-index:251671552" o:connectortype="straight">
            <v:stroke endarrow="block"/>
          </v:shape>
        </w:pict>
      </w:r>
    </w:p>
    <w:p w:rsidR="00EA17E7" w:rsidRDefault="00E91B3C" w:rsidP="00EA17E7">
      <w:pPr>
        <w:tabs>
          <w:tab w:val="left" w:pos="6630"/>
        </w:tabs>
      </w:pPr>
      <w:r>
        <w:rPr>
          <w:noProof/>
          <w:lang w:eastAsia="ru-RU"/>
        </w:rPr>
        <w:pict>
          <v:shape id="_x0000_s1028" type="#_x0000_t4" style="position:absolute;margin-left:137.7pt;margin-top:23.65pt;width:214.5pt;height:102pt;z-index:251662336">
            <v:textbox style="mso-next-textbox:#_x0000_s1028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D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Низкая</w:t>
                  </w:r>
                  <w:proofErr w:type="gramEnd"/>
                  <w:r w:rsidRPr="00BD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волатильность курсов</w:t>
                  </w:r>
                </w:p>
              </w:txbxContent>
            </v:textbox>
          </v:shape>
        </w:pict>
      </w:r>
      <w:r w:rsidR="00EA17E7">
        <w:t xml:space="preserve">                                                      </w:t>
      </w:r>
      <w:r w:rsidR="00E228A3" w:rsidRPr="001B72CF">
        <w:t xml:space="preserve">                                 </w:t>
      </w:r>
      <w:r w:rsidR="00EA17E7">
        <w:t xml:space="preserve">  ДА</w:t>
      </w:r>
      <w:r w:rsidR="00EA17E7">
        <w:tab/>
      </w:r>
    </w:p>
    <w:p w:rsidR="00EA17E7" w:rsidRPr="003952F2" w:rsidRDefault="00EA17E7" w:rsidP="00EA17E7"/>
    <w:p w:rsidR="00EA17E7" w:rsidRPr="003952F2" w:rsidRDefault="00E91B3C" w:rsidP="00EA17E7">
      <w:r>
        <w:rPr>
          <w:noProof/>
          <w:lang w:eastAsia="ru-RU"/>
        </w:rPr>
        <w:pict>
          <v:shape id="_x0000_s1033" type="#_x0000_t32" style="position:absolute;margin-left:352.2pt;margin-top:22.2pt;width:121.8pt;height:0;z-index:251667456" o:connectortype="straight"/>
        </w:pict>
      </w:r>
      <w:r w:rsidR="00EA17E7">
        <w:t xml:space="preserve">                                                                                                                                                 </w:t>
      </w:r>
      <w:r w:rsidR="00E228A3" w:rsidRPr="001B72CF">
        <w:t xml:space="preserve">               </w:t>
      </w:r>
      <w:r w:rsidR="00EA17E7">
        <w:t xml:space="preserve">  НЕТ</w:t>
      </w:r>
    </w:p>
    <w:p w:rsidR="00EA17E7" w:rsidRPr="003952F2" w:rsidRDefault="00EA17E7" w:rsidP="00EA17E7"/>
    <w:p w:rsidR="00EA17E7" w:rsidRPr="003952F2" w:rsidRDefault="00E91B3C" w:rsidP="00EA17E7">
      <w:r>
        <w:rPr>
          <w:noProof/>
          <w:lang w:eastAsia="ru-RU"/>
        </w:rPr>
        <w:pict>
          <v:shape id="_x0000_s1034" type="#_x0000_t32" style="position:absolute;margin-left:243.75pt;margin-top:23.9pt;width:0;height:26.25pt;z-index:251668480" o:connectortype="straight">
            <v:stroke endarrow="block"/>
          </v:shape>
        </w:pict>
      </w:r>
    </w:p>
    <w:p w:rsidR="00EA17E7" w:rsidRPr="003952F2" w:rsidRDefault="00E91B3C" w:rsidP="00EA17E7">
      <w:r>
        <w:rPr>
          <w:noProof/>
          <w:lang w:eastAsia="ru-RU"/>
        </w:rPr>
        <w:pict>
          <v:shape id="_x0000_s1029" type="#_x0000_t4" style="position:absolute;margin-left:136.2pt;margin-top:24.7pt;width:3in;height:101.25pt;z-index:251663360">
            <v:textbox style="mso-next-textbox:#_x0000_s1029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Положительное сальдо платежей и инвестиций</w:t>
                  </w:r>
                </w:p>
              </w:txbxContent>
            </v:textbox>
          </v:shape>
        </w:pict>
      </w:r>
      <w:r w:rsidR="00EA17E7">
        <w:t xml:space="preserve">                                                         </w:t>
      </w:r>
      <w:r w:rsidR="00E228A3" w:rsidRPr="001B72CF">
        <w:t xml:space="preserve">                                </w:t>
      </w:r>
      <w:r w:rsidR="00EA17E7">
        <w:t>ДА</w:t>
      </w:r>
    </w:p>
    <w:p w:rsidR="00EA17E7" w:rsidRPr="003952F2" w:rsidRDefault="00EA17E7" w:rsidP="00EA17E7">
      <w:pPr>
        <w:tabs>
          <w:tab w:val="left" w:pos="7020"/>
        </w:tabs>
      </w:pPr>
      <w:r>
        <w:tab/>
      </w:r>
    </w:p>
    <w:p w:rsidR="00EA17E7" w:rsidRPr="003952F2" w:rsidRDefault="00E91B3C" w:rsidP="00EA17E7">
      <w:r>
        <w:rPr>
          <w:noProof/>
          <w:lang w:eastAsia="ru-RU"/>
        </w:rPr>
        <w:pict>
          <v:shape id="_x0000_s1042" type="#_x0000_t32" style="position:absolute;margin-left:67.95pt;margin-top:23.25pt;width:0;height:81.7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67.95pt;margin-top:23.3pt;width:68.25pt;height:0;flip:x;z-index:251677696" o:connectortype="straight"/>
        </w:pict>
      </w:r>
      <w:r w:rsidR="00E228A3" w:rsidRPr="001B72CF">
        <w:t xml:space="preserve">                                      </w:t>
      </w:r>
      <w:r w:rsidR="00EA17E7">
        <w:t>НЕТ</w:t>
      </w:r>
    </w:p>
    <w:p w:rsidR="00EA17E7" w:rsidRPr="003952F2" w:rsidRDefault="00EA17E7" w:rsidP="00EA17E7"/>
    <w:p w:rsidR="00EA17E7" w:rsidRDefault="00E91B3C" w:rsidP="00EA17E7">
      <w:r>
        <w:rPr>
          <w:noProof/>
          <w:lang w:eastAsia="ru-RU"/>
        </w:rPr>
        <w:pict>
          <v:shape id="_x0000_s1041" type="#_x0000_t32" style="position:absolute;margin-left:243.75pt;margin-top:24.15pt;width:0;height:30pt;z-index:251675648" o:connectortype="straight">
            <v:stroke endarrow="block"/>
          </v:shape>
        </w:pict>
      </w:r>
    </w:p>
    <w:p w:rsidR="00EA17E7" w:rsidRDefault="00EA17E7" w:rsidP="00EA17E7">
      <w:pPr>
        <w:tabs>
          <w:tab w:val="left" w:pos="3300"/>
        </w:tabs>
      </w:pPr>
      <w:r>
        <w:t xml:space="preserve">                                                       </w:t>
      </w:r>
      <w:r w:rsidR="00E228A3" w:rsidRPr="001B72CF">
        <w:t xml:space="preserve">                           </w:t>
      </w:r>
      <w:r>
        <w:t xml:space="preserve">    ДА</w:t>
      </w:r>
    </w:p>
    <w:p w:rsidR="00EA17E7" w:rsidRPr="003952F2" w:rsidRDefault="00E91B3C" w:rsidP="00EA17E7">
      <w:pPr>
        <w:tabs>
          <w:tab w:val="left" w:pos="3300"/>
        </w:tabs>
      </w:pPr>
      <w:r>
        <w:rPr>
          <w:noProof/>
          <w:lang w:eastAsia="ru-RU"/>
        </w:rPr>
        <w:pict>
          <v:shape id="_x0000_s1048" type="#_x0000_t7" style="position:absolute;margin-left:-21.3pt;margin-top:3.3pt;width:163.5pt;height:93pt;z-index:251682816">
            <v:textbox style="mso-next-textbox:#_x0000_s1048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 новой единой</w:t>
                  </w:r>
                  <w:r w:rsidRPr="00BD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валюты</w:t>
                  </w:r>
                </w:p>
                <w:p w:rsidR="00EA17E7" w:rsidRDefault="00EA17E7" w:rsidP="00EA17E7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7" style="position:absolute;margin-left:126pt;margin-top:3.3pt;width:260.25pt;height:93pt;z-index:251683840">
            <v:textbox style="mso-next-textbox:#_x0000_s1049">
              <w:txbxContent>
                <w:p w:rsidR="00EA17E7" w:rsidRPr="00BD596D" w:rsidRDefault="00EA17E7" w:rsidP="00EA17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 существующей</w:t>
                  </w:r>
                  <w:r w:rsidRPr="00BD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7A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валюты </w:t>
                  </w:r>
                  <w:r w:rsidRPr="00B055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качестве единой</w:t>
                  </w:r>
                </w:p>
                <w:p w:rsidR="00EA17E7" w:rsidRDefault="00EA17E7" w:rsidP="00EA17E7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7" style="position:absolute;margin-left:376.2pt;margin-top:3.25pt;width:159.75pt;height:93pt;z-index:251684864">
            <v:textbox style="mso-next-textbox:#_x0000_s1050">
              <w:txbxContent>
                <w:p w:rsidR="00EA17E7" w:rsidRPr="00B05503" w:rsidRDefault="00EA17E7" w:rsidP="00EA17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55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Стабилизация платежей</w:t>
                  </w:r>
                </w:p>
                <w:p w:rsidR="00EA17E7" w:rsidRDefault="00EA17E7" w:rsidP="00EA17E7"/>
              </w:txbxContent>
            </v:textbox>
          </v:shape>
        </w:pict>
      </w:r>
      <w:r w:rsidR="00EA17E7">
        <w:t xml:space="preserve">                                                            </w:t>
      </w:r>
    </w:p>
    <w:p w:rsidR="00EA17E7" w:rsidRPr="00EC7CFA" w:rsidRDefault="00EA17E7" w:rsidP="00EC7CFA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FA" w:rsidRDefault="00E91B3C" w:rsidP="007E6EC9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margin-left:301.2pt;margin-top:43.7pt;width:112.5pt;height:35.6pt;rotation:180;flip:y;z-index:251679744" o:connectortype="elbow" adj=",472591,-89798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43.75pt;margin-top:43.65pt;width:0;height:13.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4" style="position:absolute;margin-left:44.7pt;margin-top:43.65pt;width:141pt;height:40.5pt;z-index:251678720" o:connectortype="elbow" adj="5285,-408800,-11834">
            <v:stroke endarrow="block"/>
          </v:shape>
        </w:pict>
      </w:r>
      <w:r>
        <w:rPr>
          <w:noProof/>
          <w:lang w:eastAsia="ru-RU"/>
        </w:rPr>
        <w:pict>
          <v:oval id="_x0000_s1046" style="position:absolute;margin-left:185.7pt;margin-top:51.2pt;width:115.5pt;height:55.5pt;z-index:251680768">
            <v:textbox style="mso-next-textbox:#_x0000_s1046">
              <w:txbxContent>
                <w:p w:rsidR="00EA17E7" w:rsidRPr="00AA7ADA" w:rsidRDefault="00EA17E7" w:rsidP="00EA17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EC7CFA" w:rsidRPr="001B72CF" w:rsidRDefault="001B72CF" w:rsidP="001B72C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C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этому алгоритму, странам </w:t>
      </w:r>
      <w:proofErr w:type="spellStart"/>
      <w:r w:rsidRPr="001B72CF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1B72CF">
        <w:rPr>
          <w:rFonts w:ascii="Times New Roman" w:hAnsi="Times New Roman" w:cs="Times New Roman"/>
          <w:sz w:val="28"/>
          <w:szCs w:val="28"/>
        </w:rPr>
        <w:t xml:space="preserve"> пока рано вводить единую валюту из-за различий в экономике. Введение единой валюты требует создание единого эмиссионного центра, единого органа, который бы занимался денежно-кредитным регулированием.  </w:t>
      </w:r>
      <w:proofErr w:type="gramStart"/>
      <w:r w:rsidRPr="001B72CF">
        <w:rPr>
          <w:rFonts w:ascii="Times New Roman" w:hAnsi="Times New Roman" w:cs="Times New Roman"/>
          <w:sz w:val="28"/>
          <w:szCs w:val="28"/>
        </w:rPr>
        <w:t>Платежный и торговый оборот между странам пока не так высок, поэтому на данном этапе выгоднее стабилизация платежей путем  фиксации курсов относительно друг друга.</w:t>
      </w:r>
      <w:proofErr w:type="gramEnd"/>
    </w:p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7E6EC9"/>
    <w:p w:rsidR="00EC7CFA" w:rsidRDefault="00EC7CFA" w:rsidP="00EC7CFA">
      <w:pPr>
        <w:spacing w:line="240" w:lineRule="auto"/>
        <w:rPr>
          <w:rFonts w:ascii="Calibri" w:eastAsia="Calibri" w:hAnsi="Calibri" w:cs="Times New Roman"/>
        </w:rPr>
      </w:pPr>
    </w:p>
    <w:p w:rsidR="00EC7CFA" w:rsidRDefault="00EC7CFA" w:rsidP="0035099F">
      <w:pPr>
        <w:spacing w:line="240" w:lineRule="auto"/>
      </w:pPr>
      <w:r>
        <w:rPr>
          <w:rFonts w:ascii="Calibri" w:eastAsia="Calibri" w:hAnsi="Calibri" w:cs="Times New Roman"/>
        </w:rPr>
        <w:tab/>
      </w:r>
    </w:p>
    <w:p w:rsidR="00EC7CFA" w:rsidRDefault="00EC7CFA" w:rsidP="00EC7CFA"/>
    <w:p w:rsidR="00EC7CFA" w:rsidRPr="0016477A" w:rsidRDefault="00EC7CFA" w:rsidP="00EC7CFA"/>
    <w:p w:rsidR="00EC7CFA" w:rsidRPr="0016477A" w:rsidRDefault="00EC7CFA" w:rsidP="00EC7CFA"/>
    <w:p w:rsidR="00EC7CFA" w:rsidRPr="0016477A" w:rsidRDefault="00EC7CFA" w:rsidP="00EC7CFA">
      <w:r>
        <w:t>волатильность реального курса отражает колеба</w:t>
      </w:r>
      <w:r>
        <w:softHyphen/>
        <w:t>ния цен и номинального обменного курса, которые в теории ОВЗ являются основными механизмами поддержания внешнего и внут</w:t>
      </w:r>
      <w:r>
        <w:softHyphen/>
        <w:t xml:space="preserve">реннего равновесия. Поэтому </w:t>
      </w:r>
    </w:p>
    <w:p w:rsidR="00EC7CFA" w:rsidRDefault="00EC7CFA" w:rsidP="00EC7CF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позиции рубля в международной сфере постепенно укрепляются. Об этом свидетельствуют осуществление операций нерезидентов  с российскими ценными бумагами, восстановление срочного </w:t>
      </w:r>
      <w:r>
        <w:rPr>
          <w:rFonts w:ascii="Calibri" w:eastAsia="Calibri" w:hAnsi="Calibri" w:cs="Times New Roman"/>
        </w:rPr>
        <w:lastRenderedPageBreak/>
        <w:t>рынка по рублевым форвардам, опционам, которыми хеджируются риски зарубежных инвесторов в России; возобновление с 2003 г. торгов по рублевым фьючерсам на Чикагской товарной бирже; размещение рядом западных банков и ТНК в России облигаций в рублях</w:t>
      </w:r>
      <w:r>
        <w:rPr>
          <w:rStyle w:val="ac"/>
          <w:rFonts w:ascii="Calibri" w:eastAsia="Calibri" w:hAnsi="Calibri" w:cs="Times New Roman"/>
        </w:rPr>
        <w:footnoteReference w:id="1"/>
      </w:r>
      <w:r>
        <w:rPr>
          <w:rFonts w:ascii="Calibri" w:eastAsia="Calibri" w:hAnsi="Calibri" w:cs="Times New Roman"/>
        </w:rPr>
        <w:t>. После полного погашения долгов России МВФ, он сможет предоставлять другим странам кредиты в рублях</w:t>
      </w:r>
      <w:r>
        <w:rPr>
          <w:rStyle w:val="ac"/>
          <w:rFonts w:ascii="Calibri" w:eastAsia="Calibri" w:hAnsi="Calibri" w:cs="Times New Roman"/>
        </w:rPr>
        <w:footnoteReference w:id="2"/>
      </w:r>
      <w:r>
        <w:rPr>
          <w:rFonts w:ascii="Calibri" w:eastAsia="Calibri" w:hAnsi="Calibri" w:cs="Times New Roman"/>
        </w:rPr>
        <w:t>. Как известно, в начале 2005 г. Россия досрочно погасила свой оставшийся долг МВФ в размере 3,3 млрд. долл.</w:t>
      </w:r>
      <w:r>
        <w:rPr>
          <w:rStyle w:val="ac"/>
          <w:rFonts w:ascii="Calibri" w:eastAsia="Calibri" w:hAnsi="Calibri" w:cs="Times New Roman"/>
        </w:rPr>
        <w:footnoteReference w:id="3"/>
      </w:r>
    </w:p>
    <w:p w:rsidR="00EC7CFA" w:rsidRPr="0016477A" w:rsidRDefault="00EC7CFA" w:rsidP="00EC7CFA">
      <w:pPr>
        <w:rPr>
          <w:noProof/>
          <w:lang w:eastAsia="ru-RU"/>
        </w:rPr>
      </w:pPr>
      <w:r>
        <w:rPr>
          <w:rFonts w:ascii="Calibri" w:eastAsia="Calibri" w:hAnsi="Calibri" w:cs="Times New Roman"/>
        </w:rPr>
        <w:tab/>
      </w:r>
    </w:p>
    <w:p w:rsidR="00EC7CFA" w:rsidRPr="0016477A" w:rsidRDefault="00EC7CFA" w:rsidP="00EC7CFA">
      <w:pPr>
        <w:rPr>
          <w:noProof/>
          <w:lang w:eastAsia="ru-RU"/>
        </w:rPr>
      </w:pPr>
    </w:p>
    <w:p w:rsidR="00EC7CFA" w:rsidRPr="0016477A" w:rsidRDefault="00EC7CFA" w:rsidP="00EC7CFA">
      <w:pPr>
        <w:rPr>
          <w:noProof/>
          <w:lang w:eastAsia="ru-RU"/>
        </w:rPr>
      </w:pPr>
    </w:p>
    <w:p w:rsidR="00EC7CFA" w:rsidRPr="0016477A" w:rsidRDefault="00EC7CFA" w:rsidP="00EC7CFA">
      <w:pPr>
        <w:rPr>
          <w:noProof/>
          <w:lang w:eastAsia="ru-RU"/>
        </w:rPr>
      </w:pPr>
    </w:p>
    <w:p w:rsidR="00EC7CFA" w:rsidRPr="0016477A" w:rsidRDefault="00EC7CFA" w:rsidP="00EC7CFA">
      <w:pPr>
        <w:rPr>
          <w:noProof/>
          <w:lang w:eastAsia="ru-RU"/>
        </w:rPr>
      </w:pPr>
    </w:p>
    <w:p w:rsidR="00EC7CFA" w:rsidRPr="0016477A" w:rsidRDefault="00EC7CFA" w:rsidP="00EC7CFA"/>
    <w:p w:rsidR="00EC7CFA" w:rsidRPr="0016477A" w:rsidRDefault="00EC7CFA" w:rsidP="00EC7CFA"/>
    <w:p w:rsidR="00EC7CFA" w:rsidRPr="0016477A" w:rsidRDefault="00EC7CFA" w:rsidP="00EC7CFA"/>
    <w:p w:rsidR="00EC7CFA" w:rsidRPr="0016477A" w:rsidRDefault="00EC7CFA" w:rsidP="00EC7CFA"/>
    <w:p w:rsidR="00EC7CFA" w:rsidRPr="0016477A" w:rsidRDefault="00EC7CFA" w:rsidP="00EC7CFA"/>
    <w:p w:rsidR="00EC7CFA" w:rsidRPr="0016477A" w:rsidRDefault="00EC7CFA" w:rsidP="00EC7CFA"/>
    <w:p w:rsidR="00EC7CFA" w:rsidRDefault="00EC7CFA" w:rsidP="00EC7CFA">
      <w:pPr>
        <w:rPr>
          <w:rFonts w:ascii="Times New Roman" w:hAnsi="Times New Roman" w:cs="Times New Roman"/>
        </w:rPr>
      </w:pPr>
    </w:p>
    <w:p w:rsidR="00EC7CFA" w:rsidRDefault="00EC7CFA" w:rsidP="00EC7CFA">
      <w:pPr>
        <w:rPr>
          <w:rFonts w:ascii="Times New Roman" w:hAnsi="Times New Roman" w:cs="Times New Roman"/>
        </w:rPr>
      </w:pPr>
    </w:p>
    <w:p w:rsidR="00EC7CFA" w:rsidRDefault="00EC7CFA" w:rsidP="00EC7CFA">
      <w:pPr>
        <w:rPr>
          <w:rFonts w:ascii="Times New Roman" w:hAnsi="Times New Roman" w:cs="Times New Roman"/>
        </w:rPr>
      </w:pPr>
    </w:p>
    <w:p w:rsidR="00EC7CFA" w:rsidRDefault="00EC7CFA" w:rsidP="00EC7CFA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Интеграционные процессы, как известно,  обладают своей логикой и </w:t>
      </w:r>
      <w:proofErr w:type="spellStart"/>
      <w:r>
        <w:rPr>
          <w:rFonts w:ascii="Calibri" w:eastAsia="Calibri" w:hAnsi="Calibri" w:cs="Times New Roman"/>
        </w:rPr>
        <w:t>этапностью</w:t>
      </w:r>
      <w:proofErr w:type="spellEnd"/>
      <w:r>
        <w:rPr>
          <w:rFonts w:ascii="Calibri" w:eastAsia="Calibri" w:hAnsi="Calibri" w:cs="Times New Roman"/>
        </w:rPr>
        <w:t xml:space="preserve"> развития - зона свободной торговли, таможенный союз, общий рынок товаров труда и капитала, единый валютный союз как наивысшая стадия единого экономического пространства. На самом деле,  переход от одной стадии интеграционного процесса  к другой может происходить в различном </w:t>
      </w:r>
      <w:proofErr w:type="spellStart"/>
      <w:r>
        <w:rPr>
          <w:rFonts w:ascii="Calibri" w:eastAsia="Calibri" w:hAnsi="Calibri" w:cs="Times New Roman"/>
        </w:rPr>
        <w:t>страновом</w:t>
      </w:r>
      <w:proofErr w:type="spellEnd"/>
      <w:r>
        <w:rPr>
          <w:rFonts w:ascii="Calibri" w:eastAsia="Calibri" w:hAnsi="Calibri" w:cs="Times New Roman"/>
        </w:rPr>
        <w:t xml:space="preserve"> формате. При этом ключевые проблемы могут отрабатываться в узком формате с последующим присоединением заинтересованных  государств по мере создания необходимых условий и предпосылок. И в этом смысле не стоит противопоставлять </w:t>
      </w:r>
      <w:proofErr w:type="spellStart"/>
      <w:r>
        <w:rPr>
          <w:rFonts w:ascii="Calibri" w:eastAsia="Calibri" w:hAnsi="Calibri" w:cs="Times New Roman"/>
        </w:rPr>
        <w:t>ЕврАзЭС</w:t>
      </w:r>
      <w:proofErr w:type="spellEnd"/>
      <w:r>
        <w:rPr>
          <w:rFonts w:ascii="Calibri" w:eastAsia="Calibri" w:hAnsi="Calibri" w:cs="Times New Roman"/>
        </w:rPr>
        <w:t xml:space="preserve"> другим интеграционным проектам с участием России,  Казахстана, Белоруссии и Киргизии. </w:t>
      </w:r>
      <w:proofErr w:type="spellStart"/>
      <w:r>
        <w:rPr>
          <w:rFonts w:ascii="Calibri" w:eastAsia="Calibri" w:hAnsi="Calibri" w:cs="Times New Roman"/>
        </w:rPr>
        <w:t>ЕврАзЭС</w:t>
      </w:r>
      <w:proofErr w:type="spellEnd"/>
      <w:r>
        <w:rPr>
          <w:rFonts w:ascii="Calibri" w:eastAsia="Calibri" w:hAnsi="Calibri" w:cs="Times New Roman"/>
        </w:rPr>
        <w:t xml:space="preserve"> может выступать локомотивом для формирования единого экономического пространства в более широком </w:t>
      </w:r>
      <w:proofErr w:type="spellStart"/>
      <w:r>
        <w:rPr>
          <w:rFonts w:ascii="Calibri" w:eastAsia="Calibri" w:hAnsi="Calibri" w:cs="Times New Roman"/>
        </w:rPr>
        <w:t>страновом</w:t>
      </w:r>
      <w:proofErr w:type="spellEnd"/>
      <w:r>
        <w:rPr>
          <w:rFonts w:ascii="Calibri" w:eastAsia="Calibri" w:hAnsi="Calibri" w:cs="Times New Roman"/>
        </w:rPr>
        <w:t xml:space="preserve">  формате, а в рамках Союза Белоруссии и России могут отрабатываться пионерные интеграционные проекты для  </w:t>
      </w:r>
      <w:proofErr w:type="spellStart"/>
      <w:r>
        <w:rPr>
          <w:rFonts w:ascii="Calibri" w:eastAsia="Calibri" w:hAnsi="Calibri" w:cs="Times New Roman"/>
        </w:rPr>
        <w:t>ЕврАзЭС</w:t>
      </w:r>
      <w:proofErr w:type="spellEnd"/>
      <w:r>
        <w:rPr>
          <w:rFonts w:ascii="Calibri" w:eastAsia="Calibri" w:hAnsi="Calibri" w:cs="Times New Roman"/>
        </w:rPr>
        <w:t xml:space="preserve">, прежде всего переход на единую валюту. </w:t>
      </w:r>
    </w:p>
    <w:p w:rsidR="00EC7CFA" w:rsidRDefault="00EC7CFA" w:rsidP="00EC7CFA">
      <w:pPr>
        <w:spacing w:line="240" w:lineRule="auto"/>
        <w:ind w:firstLine="708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в ближайшие годы до введения евро перед денежно-кредитной и валютной политикой стран ЦВЕ стоит двойственная задача: обеспечить достижение ряда Маастрихтских критериев (по инфляции и по процентным ставкам), добиться стабильной динамики курсов национальных валют к евро и в то же время послужить основой для подготовки структурных изменений в экономике, которые будут </w:t>
      </w:r>
      <w:r>
        <w:rPr>
          <w:rFonts w:ascii="Calibri" w:eastAsia="Calibri" w:hAnsi="Calibri" w:cs="Times New Roman"/>
        </w:rPr>
        <w:lastRenderedPageBreak/>
        <w:t>содействовать ее более эффективному функционированию в условиях отказа от национальной</w:t>
      </w:r>
      <w:proofErr w:type="gramEnd"/>
      <w:r>
        <w:rPr>
          <w:rFonts w:ascii="Calibri" w:eastAsia="Calibri" w:hAnsi="Calibri" w:cs="Times New Roman"/>
        </w:rPr>
        <w:t xml:space="preserve"> денежно-кредитной и валютной политики. </w:t>
      </w:r>
    </w:p>
    <w:p w:rsidR="00EC7CFA" w:rsidRDefault="00EC7CFA" w:rsidP="00EC7CFA">
      <w:pPr>
        <w:spacing w:line="240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Согласование целей денежно-кредитной политики. Для Белоруссии возможно два варианта: первоочередная нацеленность на снижение темпа инфляции (введение инфляционного </w:t>
      </w:r>
      <w:proofErr w:type="spellStart"/>
      <w:r>
        <w:rPr>
          <w:rFonts w:ascii="Calibri" w:eastAsia="Calibri" w:hAnsi="Calibri" w:cs="Times New Roman"/>
        </w:rPr>
        <w:t>таргетирования</w:t>
      </w:r>
      <w:proofErr w:type="spellEnd"/>
      <w:r>
        <w:rPr>
          <w:rFonts w:ascii="Calibri" w:eastAsia="Calibri" w:hAnsi="Calibri" w:cs="Times New Roman"/>
        </w:rPr>
        <w:t xml:space="preserve">) или жесткая привязка белорусского рубля к </w:t>
      </w:r>
      <w:proofErr w:type="gramStart"/>
      <w:r>
        <w:rPr>
          <w:rFonts w:ascii="Calibri" w:eastAsia="Calibri" w:hAnsi="Calibri" w:cs="Times New Roman"/>
        </w:rPr>
        <w:t>российскому</w:t>
      </w:r>
      <w:proofErr w:type="gramEnd"/>
      <w:r>
        <w:rPr>
          <w:rFonts w:ascii="Calibri" w:eastAsia="Calibri" w:hAnsi="Calibri" w:cs="Times New Roman"/>
        </w:rPr>
        <w:t xml:space="preserve">. Но, прежде всего, Белоруссии необходимо проводить постепенную смену базовых принципов управления экономикой и денежно-кредитной и валютной сферами, в частности. </w:t>
      </w:r>
    </w:p>
    <w:p w:rsidR="00EC7CFA" w:rsidRDefault="00EC7CFA" w:rsidP="00EC7CFA">
      <w:pPr>
        <w:spacing w:line="240" w:lineRule="auto"/>
        <w:ind w:firstLine="708"/>
      </w:pPr>
      <w:r>
        <w:rPr>
          <w:rFonts w:ascii="Calibri" w:eastAsia="Calibri" w:hAnsi="Calibri" w:cs="Times New Roman"/>
        </w:rPr>
        <w:t xml:space="preserve">3. Должен быть решен вопрос о едином эмиссионном центре. При этом возникает проблема представительства Белоруссии в этом центре. Здесь возможны различные варианты: от копирования нынешней модели ЕЦБ до создания собственной с учетом веса Белоруссии в экономическом потенциале Союза. В практическом плане, скорее всего, будет найден промежуточный вариант, например, в форме включения представителя Белоруссии в Совет директоров Банка России и в Национальный банковский совет. </w:t>
      </w:r>
    </w:p>
    <w:p w:rsidR="00EC7CFA" w:rsidRPr="0016477A" w:rsidRDefault="00EC7CFA" w:rsidP="007E6EC9"/>
    <w:sectPr w:rsidR="00EC7CFA" w:rsidRPr="0016477A" w:rsidSect="003509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3C" w:rsidRDefault="00E91B3C" w:rsidP="0016477A">
      <w:pPr>
        <w:spacing w:after="0" w:line="240" w:lineRule="auto"/>
      </w:pPr>
      <w:r>
        <w:separator/>
      </w:r>
    </w:p>
  </w:endnote>
  <w:endnote w:type="continuationSeparator" w:id="0">
    <w:p w:rsidR="00E91B3C" w:rsidRDefault="00E91B3C" w:rsidP="001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3C" w:rsidRDefault="00E91B3C" w:rsidP="0016477A">
      <w:pPr>
        <w:spacing w:after="0" w:line="240" w:lineRule="auto"/>
      </w:pPr>
      <w:r>
        <w:separator/>
      </w:r>
    </w:p>
  </w:footnote>
  <w:footnote w:type="continuationSeparator" w:id="0">
    <w:p w:rsidR="00E91B3C" w:rsidRDefault="00E91B3C" w:rsidP="0016477A">
      <w:pPr>
        <w:spacing w:after="0" w:line="240" w:lineRule="auto"/>
      </w:pPr>
      <w:r>
        <w:continuationSeparator/>
      </w:r>
    </w:p>
  </w:footnote>
  <w:footnote w:id="1">
    <w:p w:rsidR="005B70F5" w:rsidRDefault="005B70F5" w:rsidP="00EC7CFA">
      <w:pPr>
        <w:pStyle w:val="aa"/>
        <w:jc w:val="both"/>
      </w:pPr>
      <w:r>
        <w:rPr>
          <w:rStyle w:val="ac"/>
        </w:rPr>
        <w:footnoteRef/>
      </w:r>
      <w:r>
        <w:t xml:space="preserve"> См. Конвертируемость рубля: опыт и перспективы. М.: Огни, 2004, с.100.</w:t>
      </w:r>
    </w:p>
  </w:footnote>
  <w:footnote w:id="2">
    <w:p w:rsidR="005B70F5" w:rsidRDefault="005B70F5" w:rsidP="00EC7CFA">
      <w:pPr>
        <w:pStyle w:val="aa"/>
        <w:jc w:val="both"/>
      </w:pPr>
      <w:r>
        <w:rPr>
          <w:rStyle w:val="ac"/>
        </w:rPr>
        <w:footnoteRef/>
      </w:r>
      <w:r>
        <w:t xml:space="preserve"> Профиль, 2004, № 45, с.38.</w:t>
      </w:r>
    </w:p>
  </w:footnote>
  <w:footnote w:id="3">
    <w:p w:rsidR="005B70F5" w:rsidRDefault="005B70F5" w:rsidP="00EC7CFA">
      <w:pPr>
        <w:pStyle w:val="aa"/>
        <w:tabs>
          <w:tab w:val="left" w:pos="2820"/>
        </w:tabs>
        <w:jc w:val="both"/>
      </w:pPr>
      <w:r>
        <w:rPr>
          <w:rStyle w:val="ac"/>
        </w:rPr>
        <w:footnoteRef/>
      </w:r>
      <w:r>
        <w:t xml:space="preserve"> Известия, 2005, 2 февр. 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B54"/>
    <w:multiLevelType w:val="hybridMultilevel"/>
    <w:tmpl w:val="070E1182"/>
    <w:lvl w:ilvl="0" w:tplc="5B58B30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AA1"/>
    <w:rsid w:val="000262C8"/>
    <w:rsid w:val="00071CD0"/>
    <w:rsid w:val="00101D75"/>
    <w:rsid w:val="001142F6"/>
    <w:rsid w:val="00131CE2"/>
    <w:rsid w:val="0016477A"/>
    <w:rsid w:val="001715DD"/>
    <w:rsid w:val="001B72CF"/>
    <w:rsid w:val="002379B2"/>
    <w:rsid w:val="00333F99"/>
    <w:rsid w:val="0035099F"/>
    <w:rsid w:val="003530FE"/>
    <w:rsid w:val="00356B6B"/>
    <w:rsid w:val="00367767"/>
    <w:rsid w:val="00394AE0"/>
    <w:rsid w:val="003B7CDB"/>
    <w:rsid w:val="003C3EE4"/>
    <w:rsid w:val="00420515"/>
    <w:rsid w:val="00446DA0"/>
    <w:rsid w:val="00495BD7"/>
    <w:rsid w:val="005671E8"/>
    <w:rsid w:val="00575056"/>
    <w:rsid w:val="005B058A"/>
    <w:rsid w:val="005B70F5"/>
    <w:rsid w:val="005C6F31"/>
    <w:rsid w:val="005E1FD1"/>
    <w:rsid w:val="005E4685"/>
    <w:rsid w:val="00632AA1"/>
    <w:rsid w:val="00633122"/>
    <w:rsid w:val="006B54A4"/>
    <w:rsid w:val="006F00DC"/>
    <w:rsid w:val="007E6EC9"/>
    <w:rsid w:val="007F0A2C"/>
    <w:rsid w:val="007F3292"/>
    <w:rsid w:val="00816D98"/>
    <w:rsid w:val="00836A04"/>
    <w:rsid w:val="0084588A"/>
    <w:rsid w:val="008B0122"/>
    <w:rsid w:val="008E51A3"/>
    <w:rsid w:val="008E7F5A"/>
    <w:rsid w:val="0090562B"/>
    <w:rsid w:val="009171B0"/>
    <w:rsid w:val="009C5989"/>
    <w:rsid w:val="009D10C6"/>
    <w:rsid w:val="00A13FED"/>
    <w:rsid w:val="00B509F5"/>
    <w:rsid w:val="00B75CE7"/>
    <w:rsid w:val="00B80ECE"/>
    <w:rsid w:val="00B87833"/>
    <w:rsid w:val="00B95B6D"/>
    <w:rsid w:val="00B97FFA"/>
    <w:rsid w:val="00BB0591"/>
    <w:rsid w:val="00BC063D"/>
    <w:rsid w:val="00BD1C20"/>
    <w:rsid w:val="00C22A2C"/>
    <w:rsid w:val="00C56382"/>
    <w:rsid w:val="00C82525"/>
    <w:rsid w:val="00CC0AEC"/>
    <w:rsid w:val="00CE37ED"/>
    <w:rsid w:val="00CF30B7"/>
    <w:rsid w:val="00CF3F5A"/>
    <w:rsid w:val="00D33D2D"/>
    <w:rsid w:val="00DA0A50"/>
    <w:rsid w:val="00E0281B"/>
    <w:rsid w:val="00E228A3"/>
    <w:rsid w:val="00E91B3C"/>
    <w:rsid w:val="00EA17E7"/>
    <w:rsid w:val="00EC7CFA"/>
    <w:rsid w:val="00EE387C"/>
    <w:rsid w:val="00F3580F"/>
    <w:rsid w:val="00F35E0B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42"/>
        <o:r id="V:Rule4" type="connector" idref="#_x0000_s1039"/>
        <o:r id="V:Rule5" type="connector" idref="#_x0000_s1036"/>
        <o:r id="V:Rule6" type="connector" idref="#_x0000_s1043"/>
        <o:r id="V:Rule7" type="connector" idref="#_x0000_s1035"/>
        <o:r id="V:Rule8" type="connector" idref="#_x0000_s1034"/>
        <o:r id="V:Rule9" type="connector" idref="#_x0000_s1033"/>
        <o:r id="V:Rule10" type="connector" idref="#_x0000_s1037"/>
        <o:r id="V:Rule11" type="connector" idref="#_x0000_s1032"/>
        <o:r id="V:Rule12" type="connector" idref="#_x0000_s1031"/>
        <o:r id="V:Rule13" type="connector" idref="#_x0000_s1030"/>
        <o:r id="V:Rule14" type="connector" idref="#_x0000_s1047"/>
        <o:r id="V:Rule15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E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16477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16477A"/>
    <w:rPr>
      <w:rFonts w:ascii="Times New Roman" w:hAnsi="Times New Roman" w:cs="Times New Roman"/>
      <w:i/>
      <w:iCs/>
      <w:sz w:val="21"/>
      <w:szCs w:val="21"/>
      <w:shd w:val="clear" w:color="auto" w:fill="FFFFFF"/>
      <w:lang w:val="en-US" w:eastAsia="en-US"/>
    </w:rPr>
  </w:style>
  <w:style w:type="paragraph" w:styleId="a5">
    <w:name w:val="Body Text"/>
    <w:basedOn w:val="a"/>
    <w:link w:val="1"/>
    <w:uiPriority w:val="99"/>
    <w:rsid w:val="0016477A"/>
    <w:pPr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16477A"/>
  </w:style>
  <w:style w:type="character" w:customStyle="1" w:styleId="a8">
    <w:name w:val="Сноска_"/>
    <w:basedOn w:val="a0"/>
    <w:link w:val="a9"/>
    <w:uiPriority w:val="99"/>
    <w:rsid w:val="0016477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16477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1">
    <w:name w:val="Сноска (2) + Не курсив"/>
    <w:basedOn w:val="2"/>
    <w:uiPriority w:val="99"/>
    <w:rsid w:val="0016477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16477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uiPriority w:val="99"/>
    <w:rsid w:val="0016477A"/>
    <w:pPr>
      <w:shd w:val="clear" w:color="auto" w:fill="FFFFFF"/>
      <w:spacing w:after="0" w:line="206" w:lineRule="exac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39">
    <w:name w:val="Основной текст + Курсив39"/>
    <w:basedOn w:val="1"/>
    <w:uiPriority w:val="99"/>
    <w:rsid w:val="0016477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a">
    <w:name w:val="footnote text"/>
    <w:basedOn w:val="a"/>
    <w:link w:val="ab"/>
    <w:semiHidden/>
    <w:rsid w:val="00B8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E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80ECE"/>
    <w:rPr>
      <w:vertAlign w:val="superscript"/>
    </w:rPr>
  </w:style>
  <w:style w:type="paragraph" w:styleId="22">
    <w:name w:val="Body Text Indent 2"/>
    <w:basedOn w:val="a"/>
    <w:link w:val="23"/>
    <w:uiPriority w:val="99"/>
    <w:semiHidden/>
    <w:unhideWhenUsed/>
    <w:rsid w:val="00CF3F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F3F5A"/>
  </w:style>
  <w:style w:type="paragraph" w:styleId="ad">
    <w:name w:val="List Paragraph"/>
    <w:basedOn w:val="a"/>
    <w:uiPriority w:val="34"/>
    <w:qFormat/>
    <w:rsid w:val="00CF30B7"/>
    <w:pPr>
      <w:ind w:left="720"/>
      <w:contextualSpacing/>
    </w:pPr>
  </w:style>
  <w:style w:type="paragraph" w:customStyle="1" w:styleId="Default">
    <w:name w:val="Default"/>
    <w:rsid w:val="005B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3;&#1043;&#1059;&#1069;&#1059;\&#1082;&#1086;&#1085;&#1092;&#1077;&#1088;&#1077;&#1085;&#1094;&#1080;&#1103;%20&#1087;&#1086;%20&#1044;&#1050;&#1041;\&#1088;&#1077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индекс</a:t>
            </a:r>
            <a:r>
              <a:rPr lang="ru-RU" baseline="0"/>
              <a:t> потребительских цен</a:t>
            </a:r>
            <a:r>
              <a:rPr lang="ru-RU"/>
              <a:t> % к предыдущему году</a:t>
            </a:r>
          </a:p>
        </c:rich>
      </c:tx>
      <c:layout>
        <c:manualLayout>
          <c:xMode val="edge"/>
          <c:yMode val="edge"/>
          <c:x val="0.11942283954743362"/>
          <c:y val="1.8065098550579281E-3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'индекс потребительских цен'!$A$2</c:f>
              <c:strCache>
                <c:ptCount val="1"/>
                <c:pt idx="0">
                  <c:v>беларусь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цен'!$B$2:$L$2</c:f>
              <c:numCache>
                <c:formatCode>General</c:formatCode>
                <c:ptCount val="11"/>
                <c:pt idx="0">
                  <c:v>207.5</c:v>
                </c:pt>
                <c:pt idx="1">
                  <c:v>146.1</c:v>
                </c:pt>
                <c:pt idx="2">
                  <c:v>134.80000000000001</c:v>
                </c:pt>
                <c:pt idx="3">
                  <c:v>125.4</c:v>
                </c:pt>
                <c:pt idx="4">
                  <c:v>114.4</c:v>
                </c:pt>
                <c:pt idx="5">
                  <c:v>108</c:v>
                </c:pt>
                <c:pt idx="6">
                  <c:v>106.6</c:v>
                </c:pt>
                <c:pt idx="7">
                  <c:v>112.1</c:v>
                </c:pt>
                <c:pt idx="8">
                  <c:v>113.3</c:v>
                </c:pt>
                <c:pt idx="9">
                  <c:v>110.1</c:v>
                </c:pt>
                <c:pt idx="10">
                  <c:v>127.83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потребительских цен'!$A$3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цен'!$B$3:$L$3</c:f>
              <c:numCache>
                <c:formatCode>General</c:formatCode>
                <c:ptCount val="11"/>
                <c:pt idx="0">
                  <c:v>109.8</c:v>
                </c:pt>
                <c:pt idx="1">
                  <c:v>106.4</c:v>
                </c:pt>
                <c:pt idx="2">
                  <c:v>106.6</c:v>
                </c:pt>
                <c:pt idx="3">
                  <c:v>106.8</c:v>
                </c:pt>
                <c:pt idx="4">
                  <c:v>106.7</c:v>
                </c:pt>
                <c:pt idx="5">
                  <c:v>107.5</c:v>
                </c:pt>
                <c:pt idx="6">
                  <c:v>108.4</c:v>
                </c:pt>
                <c:pt idx="7">
                  <c:v>118.8</c:v>
                </c:pt>
                <c:pt idx="8">
                  <c:v>109.5</c:v>
                </c:pt>
                <c:pt idx="9">
                  <c:v>106.2</c:v>
                </c:pt>
                <c:pt idx="10">
                  <c:v>108.66999999999999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'индекс потребительских цен'!$A$4</c:f>
              <c:strCache>
                <c:ptCount val="1"/>
                <c:pt idx="0">
                  <c:v>Кыргызстан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цен'!$B$4:$L$4</c:f>
              <c:numCache>
                <c:formatCode>General</c:formatCode>
                <c:ptCount val="11"/>
                <c:pt idx="0">
                  <c:v>109.6</c:v>
                </c:pt>
                <c:pt idx="1">
                  <c:v>103.7</c:v>
                </c:pt>
                <c:pt idx="2">
                  <c:v>102.3</c:v>
                </c:pt>
                <c:pt idx="3">
                  <c:v>105.6</c:v>
                </c:pt>
                <c:pt idx="4">
                  <c:v>102.8</c:v>
                </c:pt>
                <c:pt idx="5">
                  <c:v>104.9</c:v>
                </c:pt>
                <c:pt idx="6">
                  <c:v>105.1</c:v>
                </c:pt>
                <c:pt idx="7">
                  <c:v>120.1</c:v>
                </c:pt>
                <c:pt idx="8">
                  <c:v>120</c:v>
                </c:pt>
                <c:pt idx="9">
                  <c:v>100</c:v>
                </c:pt>
                <c:pt idx="10">
                  <c:v>107.41000000000012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'индекс потребительских цен'!$A$5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цен'!$B$5:$L$5</c:f>
              <c:numCache>
                <c:formatCode>General</c:formatCode>
                <c:ptCount val="11"/>
                <c:pt idx="0">
                  <c:v>120.2</c:v>
                </c:pt>
                <c:pt idx="1">
                  <c:v>118.6</c:v>
                </c:pt>
                <c:pt idx="2">
                  <c:v>115.1</c:v>
                </c:pt>
                <c:pt idx="3">
                  <c:v>112</c:v>
                </c:pt>
                <c:pt idx="4">
                  <c:v>111.7</c:v>
                </c:pt>
                <c:pt idx="5">
                  <c:v>110.9</c:v>
                </c:pt>
                <c:pt idx="6">
                  <c:v>109</c:v>
                </c:pt>
                <c:pt idx="7">
                  <c:v>111.9</c:v>
                </c:pt>
                <c:pt idx="8">
                  <c:v>113.3</c:v>
                </c:pt>
                <c:pt idx="9">
                  <c:v>108.8</c:v>
                </c:pt>
                <c:pt idx="10">
                  <c:v>113.14999999999999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'индекс потребительских цен'!$A$6</c:f>
              <c:strCache>
                <c:ptCount val="1"/>
                <c:pt idx="0">
                  <c:v>Таджикистан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цен'!$B$6:$L$6</c:f>
              <c:numCache>
                <c:formatCode>General</c:formatCode>
                <c:ptCount val="11"/>
                <c:pt idx="0">
                  <c:v>106.6</c:v>
                </c:pt>
                <c:pt idx="1">
                  <c:v>114.5</c:v>
                </c:pt>
                <c:pt idx="2">
                  <c:v>112</c:v>
                </c:pt>
                <c:pt idx="3">
                  <c:v>113.7</c:v>
                </c:pt>
                <c:pt idx="4">
                  <c:v>105.7</c:v>
                </c:pt>
                <c:pt idx="5">
                  <c:v>107.1</c:v>
                </c:pt>
                <c:pt idx="6">
                  <c:v>112.5</c:v>
                </c:pt>
                <c:pt idx="7">
                  <c:v>119.7</c:v>
                </c:pt>
                <c:pt idx="8">
                  <c:v>111.8</c:v>
                </c:pt>
                <c:pt idx="9">
                  <c:v>105</c:v>
                </c:pt>
                <c:pt idx="10">
                  <c:v>110.85999999999999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'индекс потребительских цен'!$A$7</c:f>
              <c:strCache>
                <c:ptCount val="1"/>
                <c:pt idx="0">
                  <c:v>Узбекистан</c:v>
                </c:pt>
              </c:strCache>
            </c:strRef>
          </c:tx>
          <c:marker>
            <c:symbol val="none"/>
          </c:marker>
          <c:cat>
            <c:numRef>
              <c:f>'индекс потребительских цен'!$B$1:$L$1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'индекс потребительских цен'!$B$7:$L$7</c:f>
              <c:numCache>
                <c:formatCode>General</c:formatCode>
                <c:ptCount val="11"/>
                <c:pt idx="0">
                  <c:v>0</c:v>
                </c:pt>
                <c:pt idx="6">
                  <c:v>106.8</c:v>
                </c:pt>
                <c:pt idx="7">
                  <c:v>106.8</c:v>
                </c:pt>
                <c:pt idx="8">
                  <c:v>107.8</c:v>
                </c:pt>
                <c:pt idx="10">
                  <c:v>107.13333333333306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830912"/>
        <c:axId val="147604608"/>
      </c:lineChart>
      <c:catAx>
        <c:axId val="17783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04608"/>
        <c:crosses val="autoZero"/>
        <c:auto val="1"/>
        <c:lblAlgn val="ctr"/>
        <c:lblOffset val="100"/>
        <c:noMultiLvlLbl val="0"/>
      </c:catAx>
      <c:valAx>
        <c:axId val="1476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83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казахстан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курсы!$A$7</c:f>
              <c:strCache>
                <c:ptCount val="1"/>
                <c:pt idx="0">
                  <c:v>к рублю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курсы!$B$7:$M$7</c:f>
              <c:numCache>
                <c:formatCode>General</c:formatCode>
                <c:ptCount val="12"/>
                <c:pt idx="0">
                  <c:v>5.17</c:v>
                </c:pt>
                <c:pt idx="1">
                  <c:v>5</c:v>
                </c:pt>
                <c:pt idx="2">
                  <c:v>4.9000000000000004</c:v>
                </c:pt>
                <c:pt idx="3">
                  <c:v>4.8899999999999997</c:v>
                </c:pt>
                <c:pt idx="4">
                  <c:v>4.6899999999999995</c:v>
                </c:pt>
                <c:pt idx="5">
                  <c:v>4.6399999999999997</c:v>
                </c:pt>
                <c:pt idx="6">
                  <c:v>4.8199999999999985</c:v>
                </c:pt>
                <c:pt idx="7">
                  <c:v>4.91</c:v>
                </c:pt>
                <c:pt idx="8">
                  <c:v>4.1099999999999985</c:v>
                </c:pt>
                <c:pt idx="9">
                  <c:v>4.9000000000000004</c:v>
                </c:pt>
                <c:pt idx="10">
                  <c:v>4.84</c:v>
                </c:pt>
                <c:pt idx="11">
                  <c:v>4.6099999999999985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курсы!$A$8</c:f>
              <c:strCache>
                <c:ptCount val="1"/>
                <c:pt idx="0">
                  <c:v>к доллару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курсы!$B$8:$M$8</c:f>
              <c:numCache>
                <c:formatCode>General</c:formatCode>
                <c:ptCount val="12"/>
                <c:pt idx="0">
                  <c:v>114.93</c:v>
                </c:pt>
                <c:pt idx="1">
                  <c:v>151.52000000000001</c:v>
                </c:pt>
                <c:pt idx="2">
                  <c:v>156.25</c:v>
                </c:pt>
                <c:pt idx="3">
                  <c:v>144.93</c:v>
                </c:pt>
                <c:pt idx="4">
                  <c:v>129.87</c:v>
                </c:pt>
                <c:pt idx="5">
                  <c:v>133.33000000000001</c:v>
                </c:pt>
                <c:pt idx="6">
                  <c:v>126.58</c:v>
                </c:pt>
                <c:pt idx="7">
                  <c:v>120.48</c:v>
                </c:pt>
                <c:pt idx="8">
                  <c:v>120.48</c:v>
                </c:pt>
                <c:pt idx="9">
                  <c:v>149.25</c:v>
                </c:pt>
                <c:pt idx="10">
                  <c:v>147.06</c:v>
                </c:pt>
                <c:pt idx="11">
                  <c:v>149.25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82336"/>
        <c:axId val="169183872"/>
      </c:lineChart>
      <c:catAx>
        <c:axId val="16918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183872"/>
        <c:crosses val="autoZero"/>
        <c:auto val="1"/>
        <c:lblAlgn val="ctr"/>
        <c:lblOffset val="100"/>
        <c:noMultiLvlLbl val="0"/>
      </c:catAx>
      <c:valAx>
        <c:axId val="1691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8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кыргызстан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курсы!$A$10</c:f>
              <c:strCache>
                <c:ptCount val="1"/>
                <c:pt idx="0">
                  <c:v>к рублю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курсы!$B$10:$M$10</c:f>
              <c:numCache>
                <c:formatCode>General</c:formatCode>
                <c:ptCount val="12"/>
                <c:pt idx="0">
                  <c:v>1.71</c:v>
                </c:pt>
                <c:pt idx="1">
                  <c:v>1.77</c:v>
                </c:pt>
                <c:pt idx="2">
                  <c:v>1.6</c:v>
                </c:pt>
                <c:pt idx="3">
                  <c:v>1.45</c:v>
                </c:pt>
                <c:pt idx="4">
                  <c:v>1.47</c:v>
                </c:pt>
                <c:pt idx="5">
                  <c:v>1.6</c:v>
                </c:pt>
                <c:pt idx="6">
                  <c:v>1.49</c:v>
                </c:pt>
                <c:pt idx="7">
                  <c:v>1.47</c:v>
                </c:pt>
                <c:pt idx="8">
                  <c:v>1.53</c:v>
                </c:pt>
                <c:pt idx="9">
                  <c:v>1.3800000000000001</c:v>
                </c:pt>
                <c:pt idx="10">
                  <c:v>1.45</c:v>
                </c:pt>
                <c:pt idx="11">
                  <c:v>1.61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курсы!$A$11</c:f>
              <c:strCache>
                <c:ptCount val="1"/>
                <c:pt idx="0">
                  <c:v>к доллару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курсы!$B$11:$M$11</c:f>
              <c:numCache>
                <c:formatCode>General</c:formatCode>
                <c:ptCount val="12"/>
                <c:pt idx="0">
                  <c:v>46.730000000000011</c:v>
                </c:pt>
                <c:pt idx="1">
                  <c:v>49.02</c:v>
                </c:pt>
                <c:pt idx="2">
                  <c:v>48.08</c:v>
                </c:pt>
                <c:pt idx="3">
                  <c:v>45.87</c:v>
                </c:pt>
                <c:pt idx="4">
                  <c:v>42.74</c:v>
                </c:pt>
                <c:pt idx="5">
                  <c:v>1250</c:v>
                </c:pt>
                <c:pt idx="6">
                  <c:v>40.160000000000011</c:v>
                </c:pt>
                <c:pt idx="7">
                  <c:v>38.020000000000003</c:v>
                </c:pt>
                <c:pt idx="8">
                  <c:v>35.97</c:v>
                </c:pt>
                <c:pt idx="9">
                  <c:v>43.1</c:v>
                </c:pt>
                <c:pt idx="10">
                  <c:v>44.25</c:v>
                </c:pt>
                <c:pt idx="11">
                  <c:v>46.3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34432"/>
        <c:axId val="169235968"/>
      </c:lineChart>
      <c:catAx>
        <c:axId val="16923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235968"/>
        <c:crosses val="autoZero"/>
        <c:auto val="1"/>
        <c:lblAlgn val="ctr"/>
        <c:lblOffset val="100"/>
        <c:noMultiLvlLbl val="0"/>
      </c:catAx>
      <c:valAx>
        <c:axId val="16923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3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таджикистан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курсы!$A$16</c:f>
              <c:strCache>
                <c:ptCount val="1"/>
                <c:pt idx="0">
                  <c:v>к рублю</c:v>
                </c:pt>
              </c:strCache>
            </c:strRef>
          </c:tx>
          <c:marker>
            <c:symbol val="none"/>
          </c:marker>
          <c:cat>
            <c:numRef>
              <c:f>курсы!$H$2:$M$2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курсы!$H$16:$M$16</c:f>
              <c:numCache>
                <c:formatCode>General</c:formatCode>
                <c:ptCount val="6"/>
                <c:pt idx="0">
                  <c:v>0.11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0.14000000000000001</c:v>
                </c:pt>
                <c:pt idx="5">
                  <c:v>0.15000000000000024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курсы!$A$17</c:f>
              <c:strCache>
                <c:ptCount val="1"/>
                <c:pt idx="0">
                  <c:v>к доллару</c:v>
                </c:pt>
              </c:strCache>
            </c:strRef>
          </c:tx>
          <c:marker>
            <c:symbol val="none"/>
          </c:marker>
          <c:cat>
            <c:numRef>
              <c:f>курсы!$H$2:$M$2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курсы!$H$17:$M$17</c:f>
              <c:numCache>
                <c:formatCode>General</c:formatCode>
                <c:ptCount val="6"/>
                <c:pt idx="0">
                  <c:v>3.22</c:v>
                </c:pt>
                <c:pt idx="1">
                  <c:v>3.44</c:v>
                </c:pt>
                <c:pt idx="2">
                  <c:v>3.4699999999999998</c:v>
                </c:pt>
                <c:pt idx="3">
                  <c:v>3.75</c:v>
                </c:pt>
                <c:pt idx="4">
                  <c:v>4.37</c:v>
                </c:pt>
                <c:pt idx="5">
                  <c:v>4.41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281792"/>
        <c:axId val="169299968"/>
      </c:lineChart>
      <c:catAx>
        <c:axId val="1692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299968"/>
        <c:crosses val="autoZero"/>
        <c:auto val="1"/>
        <c:lblAlgn val="ctr"/>
        <c:lblOffset val="100"/>
        <c:noMultiLvlLbl val="0"/>
      </c:catAx>
      <c:valAx>
        <c:axId val="1692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Сальдо</a:t>
            </a:r>
            <a:r>
              <a:rPr lang="ru-RU" baseline="0"/>
              <a:t> платежей стран ЕврАзЭС</a:t>
            </a:r>
            <a:r>
              <a:rPr lang="en-US" baseline="0"/>
              <a:t> </a:t>
            </a:r>
            <a:r>
              <a:rPr lang="ru-RU" baseline="0"/>
              <a:t>при расчетах с Россией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'платежи сальдо'!$A$3</c:f>
              <c:strCache>
                <c:ptCount val="1"/>
                <c:pt idx="0">
                  <c:v>Беларусь</c:v>
                </c:pt>
              </c:strCache>
            </c:strRef>
          </c:tx>
          <c:invertIfNegative val="0"/>
          <c:cat>
            <c:numRef>
              <c:f>'платежи сальдо'!$B$11:$F$11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('платежи сальдо'!$D$3,'платежи сальдо'!$G$3,'платежи сальдо'!$J$3,'платежи сальдо'!$M$3,'платежи сальдо'!$P$3)</c:f>
              <c:numCache>
                <c:formatCode>General</c:formatCode>
                <c:ptCount val="5"/>
                <c:pt idx="0">
                  <c:v>1380</c:v>
                </c:pt>
                <c:pt idx="1">
                  <c:v>1784</c:v>
                </c:pt>
                <c:pt idx="2">
                  <c:v>9897</c:v>
                </c:pt>
                <c:pt idx="3">
                  <c:v>7589</c:v>
                </c:pt>
                <c:pt idx="4">
                  <c:v>5651</c:v>
                </c:pt>
              </c:numCache>
            </c:numRef>
          </c:val>
        </c:ser>
        <c:ser>
          <c:idx val="1"/>
          <c:order val="1"/>
          <c:tx>
            <c:strRef>
              <c:f>'платежи сальдо'!$A$4</c:f>
              <c:strCache>
                <c:ptCount val="1"/>
                <c:pt idx="0">
                  <c:v>Казахстан</c:v>
                </c:pt>
              </c:strCache>
            </c:strRef>
          </c:tx>
          <c:invertIfNegative val="0"/>
          <c:cat>
            <c:numRef>
              <c:f>'платежи сальдо'!$B$11:$F$11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('платежи сальдо'!$D$4,'платежи сальдо'!$G$4,'платежи сальдо'!$J$4,'платежи сальдо'!$M$4,'платежи сальдо'!$P$4)</c:f>
              <c:numCache>
                <c:formatCode>General</c:formatCode>
                <c:ptCount val="5"/>
                <c:pt idx="0">
                  <c:v>1943</c:v>
                </c:pt>
                <c:pt idx="1">
                  <c:v>2172</c:v>
                </c:pt>
                <c:pt idx="2">
                  <c:v>7180</c:v>
                </c:pt>
                <c:pt idx="3">
                  <c:v>5107</c:v>
                </c:pt>
                <c:pt idx="4">
                  <c:v>6557</c:v>
                </c:pt>
              </c:numCache>
            </c:numRef>
          </c:val>
        </c:ser>
        <c:ser>
          <c:idx val="2"/>
          <c:order val="2"/>
          <c:tx>
            <c:strRef>
              <c:f>'платежи сальдо'!$A$5</c:f>
              <c:strCache>
                <c:ptCount val="1"/>
                <c:pt idx="0">
                  <c:v>Кыргызстан</c:v>
                </c:pt>
              </c:strCache>
            </c:strRef>
          </c:tx>
          <c:invertIfNegative val="0"/>
          <c:cat>
            <c:numRef>
              <c:f>'платежи сальдо'!$B$11:$F$11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('платежи сальдо'!$D$5,'платежи сальдо'!$G$5,'платежи сальдо'!$J$5,'платежи сальдо'!$M$5,'платежи сальдо'!$P$5)</c:f>
              <c:numCache>
                <c:formatCode>General</c:formatCode>
                <c:ptCount val="5"/>
                <c:pt idx="0">
                  <c:v>-1335</c:v>
                </c:pt>
                <c:pt idx="1">
                  <c:v>-24</c:v>
                </c:pt>
                <c:pt idx="2">
                  <c:v>-64</c:v>
                </c:pt>
                <c:pt idx="3">
                  <c:v>-450</c:v>
                </c:pt>
                <c:pt idx="4">
                  <c:v>388</c:v>
                </c:pt>
              </c:numCache>
            </c:numRef>
          </c:val>
        </c:ser>
        <c:ser>
          <c:idx val="3"/>
          <c:order val="3"/>
          <c:tx>
            <c:strRef>
              <c:f>'платежи сальдо'!$A$6</c:f>
              <c:strCache>
                <c:ptCount val="1"/>
                <c:pt idx="0">
                  <c:v>Таджикистан</c:v>
                </c:pt>
              </c:strCache>
            </c:strRef>
          </c:tx>
          <c:invertIfNegative val="0"/>
          <c:cat>
            <c:numRef>
              <c:f>'платежи сальдо'!$B$11:$F$11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('платежи сальдо'!$D$6,'платежи сальдо'!$G$6,'платежи сальдо'!$J$6,'платежи сальдо'!$M$6,'платежи сальдо'!$P$6)</c:f>
              <c:numCache>
                <c:formatCode>General</c:formatCode>
                <c:ptCount val="5"/>
                <c:pt idx="0">
                  <c:v>74</c:v>
                </c:pt>
                <c:pt idx="1">
                  <c:v>86</c:v>
                </c:pt>
                <c:pt idx="2">
                  <c:v>489</c:v>
                </c:pt>
                <c:pt idx="3">
                  <c:v>259</c:v>
                </c:pt>
                <c:pt idx="4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417344"/>
        <c:axId val="169423232"/>
        <c:axId val="0"/>
      </c:bar3DChart>
      <c:catAx>
        <c:axId val="1694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423232"/>
        <c:crosses val="autoZero"/>
        <c:auto val="1"/>
        <c:lblAlgn val="ctr"/>
        <c:lblOffset val="100"/>
        <c:noMultiLvlLbl val="0"/>
      </c:catAx>
      <c:valAx>
        <c:axId val="169423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</a:t>
                </a:r>
                <a:r>
                  <a:rPr lang="en-US"/>
                  <a:t>$</a:t>
                </a:r>
                <a:r>
                  <a:rPr lang="ru-RU" baseline="0"/>
                  <a:t> США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41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Беларусь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инвестиции!$B$7</c:f>
              <c:strCache>
                <c:ptCount val="1"/>
                <c:pt idx="0">
                  <c:v>в Россию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(инвестиции!$B$9,инвестиции!$E$9,инвестиции!$H$9,инвестиции!$K$9,инвестиции!$N$9,инвестиции!$Q$9,инвестиции!$T$9,инвестиции!$W$9)</c:f>
              <c:numCache>
                <c:formatCode>General</c:formatCode>
                <c:ptCount val="8"/>
                <c:pt idx="0">
                  <c:v>1.0069999999999977</c:v>
                </c:pt>
                <c:pt idx="1">
                  <c:v>25</c:v>
                </c:pt>
                <c:pt idx="2">
                  <c:v>281</c:v>
                </c:pt>
                <c:pt idx="3">
                  <c:v>447.13499999999999</c:v>
                </c:pt>
                <c:pt idx="4">
                  <c:v>561</c:v>
                </c:pt>
                <c:pt idx="5">
                  <c:v>813</c:v>
                </c:pt>
                <c:pt idx="6">
                  <c:v>1974</c:v>
                </c:pt>
                <c:pt idx="7">
                  <c:v>1542.4</c:v>
                </c:pt>
              </c:numCache>
            </c:numRef>
          </c:val>
        </c:ser>
        <c:ser>
          <c:idx val="1"/>
          <c:order val="1"/>
          <c:tx>
            <c:strRef>
              <c:f>инвестиции!$C$7</c:f>
              <c:strCache>
                <c:ptCount val="1"/>
                <c:pt idx="0">
                  <c:v>из России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(инвестиции!$C$9,инвестиции!$F$9,инвестиции!$I$9,инвестиции!$L$9,инвестиции!$O$9,инвестиции!$R$9,инвестиции!$U$9,инвестиции!$X$9)</c:f>
              <c:numCache>
                <c:formatCode>General</c:formatCode>
                <c:ptCount val="8"/>
                <c:pt idx="0">
                  <c:v>2</c:v>
                </c:pt>
                <c:pt idx="1">
                  <c:v>41</c:v>
                </c:pt>
                <c:pt idx="2">
                  <c:v>262</c:v>
                </c:pt>
                <c:pt idx="3">
                  <c:v>70</c:v>
                </c:pt>
                <c:pt idx="4">
                  <c:v>519</c:v>
                </c:pt>
                <c:pt idx="5">
                  <c:v>1244</c:v>
                </c:pt>
                <c:pt idx="6">
                  <c:v>5519</c:v>
                </c:pt>
                <c:pt idx="7">
                  <c:v>6247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440768"/>
        <c:axId val="169442304"/>
      </c:barChart>
      <c:catAx>
        <c:axId val="1694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442304"/>
        <c:crosses val="autoZero"/>
        <c:auto val="1"/>
        <c:lblAlgn val="ctr"/>
        <c:lblOffset val="100"/>
        <c:noMultiLvlLbl val="0"/>
      </c:catAx>
      <c:valAx>
        <c:axId val="1694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44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Казахстан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инвестиции!$B$7</c:f>
              <c:strCache>
                <c:ptCount val="1"/>
                <c:pt idx="0">
                  <c:v>в Россию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(инвестиции!$B$12,инвестиции!$E$12,инвестиции!$H$12,инвестиции!$K$12,инвестиции!$N$12,инвестиции!$Q$12,инвестиции!$T$12,инвестиции!$W$12)</c:f>
              <c:numCache>
                <c:formatCode>General</c:formatCode>
                <c:ptCount val="8"/>
                <c:pt idx="0">
                  <c:v>5.6</c:v>
                </c:pt>
                <c:pt idx="1">
                  <c:v>39</c:v>
                </c:pt>
                <c:pt idx="2">
                  <c:v>322</c:v>
                </c:pt>
                <c:pt idx="3">
                  <c:v>732.7</c:v>
                </c:pt>
                <c:pt idx="4">
                  <c:v>652</c:v>
                </c:pt>
                <c:pt idx="5">
                  <c:v>821</c:v>
                </c:pt>
                <c:pt idx="6">
                  <c:v>666</c:v>
                </c:pt>
                <c:pt idx="7">
                  <c:v>768.1</c:v>
                </c:pt>
              </c:numCache>
            </c:numRef>
          </c:val>
        </c:ser>
        <c:ser>
          <c:idx val="1"/>
          <c:order val="1"/>
          <c:tx>
            <c:strRef>
              <c:f>инвестиции!$C$7</c:f>
              <c:strCache>
                <c:ptCount val="1"/>
                <c:pt idx="0">
                  <c:v>из России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(инвестиции!$C$12,инвестиции!$F$12,инвестиции!$I$12,инвестиции!$L$12,инвестиции!$O$12,инвестиции!$R$12,инвестиции!$U$12,инвестиции!$X$12)</c:f>
              <c:numCache>
                <c:formatCode>General</c:formatCode>
                <c:ptCount val="8"/>
                <c:pt idx="0">
                  <c:v>3.4</c:v>
                </c:pt>
                <c:pt idx="1">
                  <c:v>3</c:v>
                </c:pt>
                <c:pt idx="2">
                  <c:v>57</c:v>
                </c:pt>
                <c:pt idx="3">
                  <c:v>144</c:v>
                </c:pt>
                <c:pt idx="4">
                  <c:v>72</c:v>
                </c:pt>
                <c:pt idx="5">
                  <c:v>217</c:v>
                </c:pt>
                <c:pt idx="6">
                  <c:v>509</c:v>
                </c:pt>
                <c:pt idx="7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08864"/>
        <c:axId val="169510400"/>
      </c:barChart>
      <c:catAx>
        <c:axId val="16950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510400"/>
        <c:crosses val="autoZero"/>
        <c:auto val="1"/>
        <c:lblAlgn val="ctr"/>
        <c:lblOffset val="100"/>
        <c:noMultiLvlLbl val="0"/>
      </c:catAx>
      <c:valAx>
        <c:axId val="1695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Кыргызстан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инвестиции!$B$7</c:f>
              <c:strCache>
                <c:ptCount val="1"/>
                <c:pt idx="0">
                  <c:v>в Россию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(инвестиции!$B$15,инвестиции!$E$15,инвестиции!$H$15,инвестиции!$K$15,инвестиции!$N$15,инвестиции!$Q$15,инвестиции!$T$15,инвестиции!$W$15)</c:f>
              <c:numCache>
                <c:formatCode>General</c:formatCode>
                <c:ptCount val="8"/>
                <c:pt idx="0">
                  <c:v>0.5</c:v>
                </c:pt>
                <c:pt idx="1">
                  <c:v>4</c:v>
                </c:pt>
                <c:pt idx="2">
                  <c:v>64</c:v>
                </c:pt>
                <c:pt idx="3">
                  <c:v>138</c:v>
                </c:pt>
                <c:pt idx="4">
                  <c:v>418</c:v>
                </c:pt>
                <c:pt idx="5">
                  <c:v>448</c:v>
                </c:pt>
                <c:pt idx="6">
                  <c:v>423</c:v>
                </c:pt>
                <c:pt idx="7">
                  <c:v>318.89999999999969</c:v>
                </c:pt>
              </c:numCache>
            </c:numRef>
          </c:val>
        </c:ser>
        <c:ser>
          <c:idx val="1"/>
          <c:order val="1"/>
          <c:tx>
            <c:strRef>
              <c:f>инвестиции!$C$7</c:f>
              <c:strCache>
                <c:ptCount val="1"/>
                <c:pt idx="0">
                  <c:v>из России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(инвестиции!$C$15,инвестиции!$F$15,инвестиции!$I$15,инвестиции!$O$15,инвестиции!$R$15,инвестиции!$U$15,инвестиции!$X$15)</c:f>
              <c:numCache>
                <c:formatCode>General</c:formatCode>
                <c:ptCount val="7"/>
                <c:pt idx="0">
                  <c:v>7.0000000000000088E-3</c:v>
                </c:pt>
                <c:pt idx="6">
                  <c:v>200.5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182336"/>
        <c:axId val="171192320"/>
      </c:barChart>
      <c:catAx>
        <c:axId val="17118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192320"/>
        <c:crosses val="autoZero"/>
        <c:auto val="1"/>
        <c:lblAlgn val="ctr"/>
        <c:lblOffset val="100"/>
        <c:noMultiLvlLbl val="0"/>
      </c:catAx>
      <c:valAx>
        <c:axId val="1711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8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Таджикистан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инвестиции!$B$7</c:f>
              <c:strCache>
                <c:ptCount val="1"/>
                <c:pt idx="0">
                  <c:v>в Россию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(инвестиции!$B$18,инвестиции!$E$18,инвестиции!$H$18,инвестиции!$K$18,инвестиции!$N$18,инвестиции!$Q$18,инвестиции!$T$18,инвестиции!$W$18)</c:f>
              <c:numCache>
                <c:formatCode>General</c:formatCode>
                <c:ptCount val="8"/>
                <c:pt idx="0">
                  <c:v>2.7000000000000045E-2</c:v>
                </c:pt>
                <c:pt idx="1">
                  <c:v>0</c:v>
                </c:pt>
                <c:pt idx="2">
                  <c:v>2</c:v>
                </c:pt>
                <c:pt idx="3">
                  <c:v>13.843</c:v>
                </c:pt>
                <c:pt idx="4">
                  <c:v>13</c:v>
                </c:pt>
                <c:pt idx="5">
                  <c:v>3</c:v>
                </c:pt>
                <c:pt idx="6">
                  <c:v>11</c:v>
                </c:pt>
                <c:pt idx="7">
                  <c:v>28.884</c:v>
                </c:pt>
              </c:numCache>
            </c:numRef>
          </c:val>
        </c:ser>
        <c:ser>
          <c:idx val="1"/>
          <c:order val="1"/>
          <c:tx>
            <c:strRef>
              <c:f>инвестиции!$C$7</c:f>
              <c:strCache>
                <c:ptCount val="1"/>
                <c:pt idx="0">
                  <c:v>из России</c:v>
                </c:pt>
              </c:strCache>
            </c:strRef>
          </c:tx>
          <c:invertIfNegative val="0"/>
          <c:cat>
            <c:numRef>
              <c:f>(инвестиции!$B$6,инвестиции!$E$6,инвестиции!$H$6,инвестиции!$K$6,инвестиции!$N$6,инвестиции!$Q$6,инвестиции!$T$6,инвестиции!$W$6)</c:f>
              <c:numCache>
                <c:formatCode>General</c:formatCode>
                <c:ptCount val="8"/>
                <c:pt idx="0">
                  <c:v>2000</c:v>
                </c:pt>
                <c:pt idx="1">
                  <c:v>2002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</c:numCache>
            </c:numRef>
          </c:cat>
          <c:val>
            <c:numRef>
              <c:f>(инвестиции!$C$18,инвестиции!$F$18,инвестиции!$I$18,инвестиции!$L$18,инвестиции!$O$18,инвестиции!$R$18,инвестиции!$U$18,инвестиции!$X$18)</c:f>
              <c:numCache>
                <c:formatCode>General</c:formatCode>
                <c:ptCount val="8"/>
                <c:pt idx="0">
                  <c:v>0</c:v>
                </c:pt>
                <c:pt idx="3">
                  <c:v>0.4960000000000005</c:v>
                </c:pt>
                <c:pt idx="7">
                  <c:v>111.9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38144"/>
        <c:axId val="171239680"/>
      </c:barChart>
      <c:catAx>
        <c:axId val="1712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239680"/>
        <c:crosses val="autoZero"/>
        <c:auto val="1"/>
        <c:lblAlgn val="ctr"/>
        <c:lblOffset val="100"/>
        <c:noMultiLvlLbl val="0"/>
      </c:catAx>
      <c:valAx>
        <c:axId val="1712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23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беларусь</c:v>
                </c:pt>
              </c:strCache>
            </c:strRef>
          </c:tx>
          <c:marker>
            <c:symbol val="none"/>
          </c:marker>
          <c:cat>
            <c:numRef>
              <c:f>Лист3!$B$1:$M$1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Лист3!$B$2:$M$2</c:f>
              <c:numCache>
                <c:formatCode>0.0</c:formatCode>
                <c:ptCount val="12"/>
                <c:pt idx="0">
                  <c:v>60</c:v>
                </c:pt>
                <c:pt idx="1">
                  <c:v>79.2</c:v>
                </c:pt>
                <c:pt idx="2">
                  <c:v>73.7</c:v>
                </c:pt>
                <c:pt idx="3">
                  <c:v>60.7</c:v>
                </c:pt>
                <c:pt idx="4">
                  <c:v>64.7</c:v>
                </c:pt>
                <c:pt idx="5">
                  <c:v>90.9</c:v>
                </c:pt>
                <c:pt idx="6">
                  <c:v>100</c:v>
                </c:pt>
                <c:pt idx="7">
                  <c:v>120</c:v>
                </c:pt>
                <c:pt idx="8">
                  <c:v>112.5</c:v>
                </c:pt>
                <c:pt idx="9">
                  <c:v>77.8</c:v>
                </c:pt>
                <c:pt idx="10">
                  <c:v>428.6</c:v>
                </c:pt>
                <c:pt idx="11">
                  <c:v>84.4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numRef>
              <c:f>Лист3!$B$1:$M$1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Лист3!$B$3:$M$3</c:f>
              <c:numCache>
                <c:formatCode>0.0</c:formatCode>
                <c:ptCount val="12"/>
                <c:pt idx="0">
                  <c:v>64.3</c:v>
                </c:pt>
                <c:pt idx="1">
                  <c:v>11.5</c:v>
                </c:pt>
                <c:pt idx="2">
                  <c:v>93.3</c:v>
                </c:pt>
                <c:pt idx="3">
                  <c:v>100.8</c:v>
                </c:pt>
                <c:pt idx="4">
                  <c:v>114.3</c:v>
                </c:pt>
                <c:pt idx="5">
                  <c:v>76.8</c:v>
                </c:pt>
                <c:pt idx="6">
                  <c:v>122.2</c:v>
                </c:pt>
                <c:pt idx="7">
                  <c:v>173</c:v>
                </c:pt>
                <c:pt idx="8">
                  <c:v>66.7</c:v>
                </c:pt>
                <c:pt idx="9">
                  <c:v>77.2</c:v>
                </c:pt>
                <c:pt idx="10">
                  <c:v>107.1</c:v>
                </c:pt>
                <c:pt idx="11">
                  <c:v>93.3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Кыргызстан</c:v>
                </c:pt>
              </c:strCache>
            </c:strRef>
          </c:tx>
          <c:marker>
            <c:symbol val="none"/>
          </c:marker>
          <c:cat>
            <c:numRef>
              <c:f>Лист3!$B$1:$M$1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Лист3!$B$4:$M$4</c:f>
              <c:numCache>
                <c:formatCode>0.0</c:formatCode>
                <c:ptCount val="12"/>
                <c:pt idx="0">
                  <c:v>100</c:v>
                </c:pt>
                <c:pt idx="1">
                  <c:v>11.5</c:v>
                </c:pt>
                <c:pt idx="2">
                  <c:v>90.2</c:v>
                </c:pt>
                <c:pt idx="3">
                  <c:v>100.8</c:v>
                </c:pt>
                <c:pt idx="4">
                  <c:v>102.5</c:v>
                </c:pt>
                <c:pt idx="5">
                  <c:v>76.8</c:v>
                </c:pt>
                <c:pt idx="6">
                  <c:v>279.39999999999969</c:v>
                </c:pt>
                <c:pt idx="7">
                  <c:v>173</c:v>
                </c:pt>
                <c:pt idx="8">
                  <c:v>59.6</c:v>
                </c:pt>
                <c:pt idx="9">
                  <c:v>77.2</c:v>
                </c:pt>
                <c:pt idx="10">
                  <c:v>194.4</c:v>
                </c:pt>
                <c:pt idx="11">
                  <c:v>72.099999999999994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numRef>
              <c:f>Лист3!$B$1:$M$1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Лист3!$B$5:$M$5</c:f>
              <c:numCache>
                <c:formatCode>0.0</c:formatCode>
                <c:ptCount val="12"/>
                <c:pt idx="0">
                  <c:v>100</c:v>
                </c:pt>
                <c:pt idx="1">
                  <c:v>82.1</c:v>
                </c:pt>
                <c:pt idx="2">
                  <c:v>78.3</c:v>
                </c:pt>
                <c:pt idx="3">
                  <c:v>77.8</c:v>
                </c:pt>
                <c:pt idx="4">
                  <c:v>92.9</c:v>
                </c:pt>
                <c:pt idx="5">
                  <c:v>92.3</c:v>
                </c:pt>
                <c:pt idx="6">
                  <c:v>87.5</c:v>
                </c:pt>
                <c:pt idx="7">
                  <c:v>114.3</c:v>
                </c:pt>
                <c:pt idx="8">
                  <c:v>75</c:v>
                </c:pt>
                <c:pt idx="9">
                  <c:v>88.9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Таджикистан</c:v>
                </c:pt>
              </c:strCache>
            </c:strRef>
          </c:tx>
          <c:marker>
            <c:symbol val="none"/>
          </c:marker>
          <c:cat>
            <c:numRef>
              <c:f>Лист3!$B$1:$M$1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Лист3!$B$6:$M$6</c:f>
              <c:numCache>
                <c:formatCode>0.0</c:formatCode>
                <c:ptCount val="12"/>
                <c:pt idx="0">
                  <c:v>81</c:v>
                </c:pt>
                <c:pt idx="1">
                  <c:v>77.599999999999994</c:v>
                </c:pt>
                <c:pt idx="2">
                  <c:v>72</c:v>
                </c:pt>
                <c:pt idx="3">
                  <c:v>119.9</c:v>
                </c:pt>
                <c:pt idx="4">
                  <c:v>87.7</c:v>
                </c:pt>
                <c:pt idx="5">
                  <c:v>120</c:v>
                </c:pt>
                <c:pt idx="6">
                  <c:v>125</c:v>
                </c:pt>
                <c:pt idx="7">
                  <c:v>90</c:v>
                </c:pt>
                <c:pt idx="8">
                  <c:v>59.3</c:v>
                </c:pt>
                <c:pt idx="9">
                  <c:v>103.1</c:v>
                </c:pt>
                <c:pt idx="10">
                  <c:v>118.8</c:v>
                </c:pt>
                <c:pt idx="11">
                  <c:v>91.8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20224"/>
        <c:axId val="147621760"/>
      </c:lineChart>
      <c:catAx>
        <c:axId val="14762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21760"/>
        <c:crosses val="autoZero"/>
        <c:auto val="1"/>
        <c:lblAlgn val="ctr"/>
        <c:lblOffset val="100"/>
        <c:noMultiLvlLbl val="0"/>
      </c:catAx>
      <c:valAx>
        <c:axId val="1476217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762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Беларусь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'индекс потреб цен'!$A$3</c:f>
              <c:strCache>
                <c:ptCount val="1"/>
                <c:pt idx="0">
                  <c:v>инфляция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цен'!$B$3:$M$3</c:f>
              <c:numCache>
                <c:formatCode>General</c:formatCode>
                <c:ptCount val="12"/>
                <c:pt idx="0">
                  <c:v>207.5</c:v>
                </c:pt>
                <c:pt idx="1">
                  <c:v>146.1</c:v>
                </c:pt>
                <c:pt idx="2">
                  <c:v>134.80000000000001</c:v>
                </c:pt>
                <c:pt idx="3">
                  <c:v>125.4</c:v>
                </c:pt>
                <c:pt idx="4">
                  <c:v>114.4</c:v>
                </c:pt>
                <c:pt idx="5">
                  <c:v>108</c:v>
                </c:pt>
                <c:pt idx="6">
                  <c:v>106.6</c:v>
                </c:pt>
                <c:pt idx="7">
                  <c:v>112.1</c:v>
                </c:pt>
                <c:pt idx="8">
                  <c:v>113.3</c:v>
                </c:pt>
                <c:pt idx="9">
                  <c:v>110.1</c:v>
                </c:pt>
                <c:pt idx="10">
                  <c:v>109.9</c:v>
                </c:pt>
                <c:pt idx="11">
                  <c:v>108.7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'индекс потреб цен'!$A$4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цен'!$B$4:$M$4</c:f>
              <c:numCache>
                <c:formatCode>0.0</c:formatCode>
                <c:ptCount val="12"/>
                <c:pt idx="0">
                  <c:v>60</c:v>
                </c:pt>
                <c:pt idx="1">
                  <c:v>79.2</c:v>
                </c:pt>
                <c:pt idx="2">
                  <c:v>73.7</c:v>
                </c:pt>
                <c:pt idx="3">
                  <c:v>60.7</c:v>
                </c:pt>
                <c:pt idx="4">
                  <c:v>64.7</c:v>
                </c:pt>
                <c:pt idx="5">
                  <c:v>90.9</c:v>
                </c:pt>
                <c:pt idx="6">
                  <c:v>100</c:v>
                </c:pt>
                <c:pt idx="7">
                  <c:v>120</c:v>
                </c:pt>
                <c:pt idx="8">
                  <c:v>112.5</c:v>
                </c:pt>
                <c:pt idx="9">
                  <c:v>77.8</c:v>
                </c:pt>
                <c:pt idx="10">
                  <c:v>428.6</c:v>
                </c:pt>
                <c:pt idx="11">
                  <c:v>84.4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38528"/>
        <c:axId val="147640320"/>
      </c:lineChart>
      <c:catAx>
        <c:axId val="1476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40320"/>
        <c:crosses val="autoZero"/>
        <c:auto val="1"/>
        <c:lblAlgn val="ctr"/>
        <c:lblOffset val="100"/>
        <c:noMultiLvlLbl val="0"/>
      </c:catAx>
      <c:valAx>
        <c:axId val="1476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3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Казахстан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'индекс потреб цен'!$A$6</c:f>
              <c:strCache>
                <c:ptCount val="1"/>
                <c:pt idx="0">
                  <c:v>инфляция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цен'!$B$6:$M$6</c:f>
              <c:numCache>
                <c:formatCode>General</c:formatCode>
                <c:ptCount val="12"/>
                <c:pt idx="0">
                  <c:v>109.8</c:v>
                </c:pt>
                <c:pt idx="1">
                  <c:v>106.4</c:v>
                </c:pt>
                <c:pt idx="2">
                  <c:v>106.6</c:v>
                </c:pt>
                <c:pt idx="3">
                  <c:v>106.8</c:v>
                </c:pt>
                <c:pt idx="4">
                  <c:v>106.7</c:v>
                </c:pt>
                <c:pt idx="5">
                  <c:v>107.5</c:v>
                </c:pt>
                <c:pt idx="6">
                  <c:v>108.4</c:v>
                </c:pt>
                <c:pt idx="7">
                  <c:v>118.8</c:v>
                </c:pt>
                <c:pt idx="8">
                  <c:v>109.5</c:v>
                </c:pt>
                <c:pt idx="9">
                  <c:v>106.2</c:v>
                </c:pt>
                <c:pt idx="10">
                  <c:v>107.8</c:v>
                </c:pt>
                <c:pt idx="11">
                  <c:v>107.4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потреб цен'!$A$7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цен'!$B$7:$M$7</c:f>
              <c:numCache>
                <c:formatCode>0.0</c:formatCode>
                <c:ptCount val="12"/>
                <c:pt idx="0">
                  <c:v>64.3</c:v>
                </c:pt>
                <c:pt idx="1">
                  <c:v>11.5</c:v>
                </c:pt>
                <c:pt idx="2">
                  <c:v>93.3</c:v>
                </c:pt>
                <c:pt idx="3">
                  <c:v>100.8</c:v>
                </c:pt>
                <c:pt idx="4">
                  <c:v>114.3</c:v>
                </c:pt>
                <c:pt idx="5">
                  <c:v>76.8</c:v>
                </c:pt>
                <c:pt idx="6">
                  <c:v>122.2</c:v>
                </c:pt>
                <c:pt idx="7">
                  <c:v>173</c:v>
                </c:pt>
                <c:pt idx="8">
                  <c:v>66.7</c:v>
                </c:pt>
                <c:pt idx="9">
                  <c:v>77.2</c:v>
                </c:pt>
                <c:pt idx="10">
                  <c:v>107.1</c:v>
                </c:pt>
                <c:pt idx="11">
                  <c:v>93.3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29696"/>
        <c:axId val="168831232"/>
      </c:lineChart>
      <c:catAx>
        <c:axId val="1688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31232"/>
        <c:crosses val="autoZero"/>
        <c:auto val="1"/>
        <c:lblAlgn val="ctr"/>
        <c:lblOffset val="100"/>
        <c:noMultiLvlLbl val="0"/>
      </c:catAx>
      <c:valAx>
        <c:axId val="16883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2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Кыргызстан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'индекс потреб цен'!$A$9</c:f>
              <c:strCache>
                <c:ptCount val="1"/>
                <c:pt idx="0">
                  <c:v>инфляция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цен'!$B$9:$M$9</c:f>
              <c:numCache>
                <c:formatCode>General</c:formatCode>
                <c:ptCount val="12"/>
                <c:pt idx="0">
                  <c:v>109.6</c:v>
                </c:pt>
                <c:pt idx="1">
                  <c:v>103.7</c:v>
                </c:pt>
                <c:pt idx="2">
                  <c:v>102.3</c:v>
                </c:pt>
                <c:pt idx="3">
                  <c:v>105.6</c:v>
                </c:pt>
                <c:pt idx="4">
                  <c:v>102.8</c:v>
                </c:pt>
                <c:pt idx="5">
                  <c:v>104.9</c:v>
                </c:pt>
                <c:pt idx="6">
                  <c:v>105.1</c:v>
                </c:pt>
                <c:pt idx="7">
                  <c:v>120.1</c:v>
                </c:pt>
                <c:pt idx="8">
                  <c:v>120</c:v>
                </c:pt>
                <c:pt idx="9">
                  <c:v>100</c:v>
                </c:pt>
                <c:pt idx="10">
                  <c:v>119.2</c:v>
                </c:pt>
                <c:pt idx="11">
                  <c:v>123.7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потреб цен'!$A$10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цен'!$B$10:$M$10</c:f>
              <c:numCache>
                <c:formatCode>0.0</c:formatCode>
                <c:ptCount val="12"/>
                <c:pt idx="0">
                  <c:v>100</c:v>
                </c:pt>
                <c:pt idx="1">
                  <c:v>11.5</c:v>
                </c:pt>
                <c:pt idx="2">
                  <c:v>90.2</c:v>
                </c:pt>
                <c:pt idx="3">
                  <c:v>100.8</c:v>
                </c:pt>
                <c:pt idx="4">
                  <c:v>102.5</c:v>
                </c:pt>
                <c:pt idx="5">
                  <c:v>76.8</c:v>
                </c:pt>
                <c:pt idx="6">
                  <c:v>279.39999999999969</c:v>
                </c:pt>
                <c:pt idx="7">
                  <c:v>173</c:v>
                </c:pt>
                <c:pt idx="8">
                  <c:v>59.6</c:v>
                </c:pt>
                <c:pt idx="9">
                  <c:v>77.2</c:v>
                </c:pt>
                <c:pt idx="10">
                  <c:v>194.4</c:v>
                </c:pt>
                <c:pt idx="11">
                  <c:v>72.099999999999994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44288"/>
        <c:axId val="168858368"/>
      </c:lineChart>
      <c:catAx>
        <c:axId val="1688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58368"/>
        <c:crosses val="autoZero"/>
        <c:auto val="1"/>
        <c:lblAlgn val="ctr"/>
        <c:lblOffset val="100"/>
        <c:noMultiLvlLbl val="0"/>
      </c:catAx>
      <c:valAx>
        <c:axId val="1688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4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Россия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'индекс потреб цен'!$A$12</c:f>
              <c:strCache>
                <c:ptCount val="1"/>
                <c:pt idx="0">
                  <c:v>инфляция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цен'!$B$12:$M$12</c:f>
              <c:numCache>
                <c:formatCode>General</c:formatCode>
                <c:ptCount val="12"/>
                <c:pt idx="0">
                  <c:v>120.2</c:v>
                </c:pt>
                <c:pt idx="1">
                  <c:v>118.6</c:v>
                </c:pt>
                <c:pt idx="2">
                  <c:v>115.1</c:v>
                </c:pt>
                <c:pt idx="3">
                  <c:v>112</c:v>
                </c:pt>
                <c:pt idx="4">
                  <c:v>111.7</c:v>
                </c:pt>
                <c:pt idx="5">
                  <c:v>110.9</c:v>
                </c:pt>
                <c:pt idx="6">
                  <c:v>109</c:v>
                </c:pt>
                <c:pt idx="7">
                  <c:v>111.9</c:v>
                </c:pt>
                <c:pt idx="8">
                  <c:v>113.3</c:v>
                </c:pt>
                <c:pt idx="9">
                  <c:v>108.8</c:v>
                </c:pt>
                <c:pt idx="10">
                  <c:v>108.78</c:v>
                </c:pt>
                <c:pt idx="11">
                  <c:v>106.1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потреб цен'!$A$13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цен'!$B$13:$M$13</c:f>
              <c:numCache>
                <c:formatCode>0.0</c:formatCode>
                <c:ptCount val="12"/>
                <c:pt idx="0">
                  <c:v>100</c:v>
                </c:pt>
                <c:pt idx="1">
                  <c:v>82.1</c:v>
                </c:pt>
                <c:pt idx="2">
                  <c:v>78.3</c:v>
                </c:pt>
                <c:pt idx="3">
                  <c:v>77.8</c:v>
                </c:pt>
                <c:pt idx="4">
                  <c:v>92.9</c:v>
                </c:pt>
                <c:pt idx="5">
                  <c:v>92.3</c:v>
                </c:pt>
                <c:pt idx="6">
                  <c:v>87.5</c:v>
                </c:pt>
                <c:pt idx="7">
                  <c:v>114.3</c:v>
                </c:pt>
                <c:pt idx="8">
                  <c:v>75</c:v>
                </c:pt>
                <c:pt idx="9">
                  <c:v>88.9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79616"/>
        <c:axId val="168881152"/>
      </c:lineChart>
      <c:catAx>
        <c:axId val="1688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881152"/>
        <c:crosses val="autoZero"/>
        <c:auto val="1"/>
        <c:lblAlgn val="ctr"/>
        <c:lblOffset val="100"/>
        <c:noMultiLvlLbl val="0"/>
      </c:catAx>
      <c:valAx>
        <c:axId val="16888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7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Таджикистан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'индекс потреб цен'!$A$15</c:f>
              <c:strCache>
                <c:ptCount val="1"/>
                <c:pt idx="0">
                  <c:v>инфляция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цен'!$B$15:$M$15</c:f>
              <c:numCache>
                <c:formatCode>General</c:formatCode>
                <c:ptCount val="12"/>
                <c:pt idx="0">
                  <c:v>106.6</c:v>
                </c:pt>
                <c:pt idx="1">
                  <c:v>114.5</c:v>
                </c:pt>
                <c:pt idx="2">
                  <c:v>112</c:v>
                </c:pt>
                <c:pt idx="3">
                  <c:v>113.7</c:v>
                </c:pt>
                <c:pt idx="4">
                  <c:v>105.7</c:v>
                </c:pt>
                <c:pt idx="5">
                  <c:v>107.1</c:v>
                </c:pt>
                <c:pt idx="6">
                  <c:v>112.5</c:v>
                </c:pt>
                <c:pt idx="7">
                  <c:v>119.7</c:v>
                </c:pt>
                <c:pt idx="8">
                  <c:v>111.8</c:v>
                </c:pt>
                <c:pt idx="9">
                  <c:v>105</c:v>
                </c:pt>
                <c:pt idx="10">
                  <c:v>109.8</c:v>
                </c:pt>
                <c:pt idx="11">
                  <c:v>109.3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'индекс потреб цен'!$A$16</c:f>
              <c:strCache>
                <c:ptCount val="1"/>
                <c:pt idx="0">
                  <c:v>ставка</c:v>
                </c:pt>
              </c:strCache>
            </c:strRef>
          </c:tx>
          <c:marker>
            <c:symbol val="none"/>
          </c:marker>
          <c:cat>
            <c:numRef>
              <c:f>'индекс потреб цен'!$B$1:$M$1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'индекс потреб цен'!$B$16:$M$16</c:f>
              <c:numCache>
                <c:formatCode>0.0</c:formatCode>
                <c:ptCount val="12"/>
                <c:pt idx="0">
                  <c:v>81</c:v>
                </c:pt>
                <c:pt idx="1">
                  <c:v>77.599999999999994</c:v>
                </c:pt>
                <c:pt idx="2">
                  <c:v>72</c:v>
                </c:pt>
                <c:pt idx="3">
                  <c:v>119.9</c:v>
                </c:pt>
                <c:pt idx="4">
                  <c:v>87.7</c:v>
                </c:pt>
                <c:pt idx="5">
                  <c:v>120</c:v>
                </c:pt>
                <c:pt idx="6">
                  <c:v>125</c:v>
                </c:pt>
                <c:pt idx="7">
                  <c:v>90</c:v>
                </c:pt>
                <c:pt idx="8">
                  <c:v>59.3</c:v>
                </c:pt>
                <c:pt idx="9">
                  <c:v>103.1</c:v>
                </c:pt>
                <c:pt idx="10">
                  <c:v>118.8</c:v>
                </c:pt>
                <c:pt idx="11">
                  <c:v>91.8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11552"/>
        <c:axId val="169113088"/>
      </c:lineChart>
      <c:catAx>
        <c:axId val="16911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113088"/>
        <c:crosses val="autoZero"/>
        <c:auto val="1"/>
        <c:lblAlgn val="ctr"/>
        <c:lblOffset val="100"/>
        <c:noMultiLvlLbl val="0"/>
      </c:catAx>
      <c:valAx>
        <c:axId val="1691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1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Беларусь</c:v>
                </c:pt>
              </c:strCache>
            </c:strRef>
          </c:tx>
          <c:marker>
            <c:symbol val="none"/>
          </c:marker>
          <c:cat>
            <c:numRef>
              <c:f>Лист2!$B$1:$E$1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17.899999999999999</c:v>
                </c:pt>
                <c:pt idx="1">
                  <c:v>21.4</c:v>
                </c:pt>
                <c:pt idx="2">
                  <c:v>32.6</c:v>
                </c:pt>
                <c:pt idx="3">
                  <c:v>22.5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Казахстан</c:v>
                </c:pt>
              </c:strCache>
            </c:strRef>
          </c:tx>
          <c:marker>
            <c:symbol val="none"/>
          </c:marker>
          <c:cat>
            <c:numRef>
              <c:f>Лист2!$B$1:$E$1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5.4</c:v>
                </c:pt>
                <c:pt idx="1">
                  <c:v>8.3000000000000007</c:v>
                </c:pt>
                <c:pt idx="2">
                  <c:v>13.2</c:v>
                </c:pt>
                <c:pt idx="3">
                  <c:v>11.4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Кыргызстан</c:v>
                </c:pt>
              </c:strCache>
            </c:strRef>
          </c:tx>
          <c:marker>
            <c:symbol val="none"/>
          </c:marker>
          <c:cat>
            <c:numRef>
              <c:f>Лист2!$B$1:$E$1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57</c:v>
                </c:pt>
                <c:pt idx="1">
                  <c:v>49.4</c:v>
                </c:pt>
                <c:pt idx="2">
                  <c:v>59.92</c:v>
                </c:pt>
                <c:pt idx="3">
                  <c:v>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numRef>
              <c:f>Лист2!$B$1:$E$1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9.1</c:v>
                </c:pt>
                <c:pt idx="1">
                  <c:v>7.3</c:v>
                </c:pt>
                <c:pt idx="2">
                  <c:v>6.5</c:v>
                </c:pt>
                <c:pt idx="3">
                  <c:v>9.9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Таджикистан</c:v>
                </c:pt>
              </c:strCache>
            </c:strRef>
          </c:tx>
          <c:marker>
            <c:symbol val="none"/>
          </c:marker>
          <c:cat>
            <c:numRef>
              <c:f>Лист2!$B$1:$E$1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Лист2!$B$6:$E$6</c:f>
              <c:numCache>
                <c:formatCode>General</c:formatCode>
                <c:ptCount val="4"/>
                <c:pt idx="0">
                  <c:v>31.55</c:v>
                </c:pt>
                <c:pt idx="1">
                  <c:v>26.87</c:v>
                </c:pt>
                <c:pt idx="2">
                  <c:v>35.800000000000004</c:v>
                </c:pt>
                <c:pt idx="3">
                  <c:v>36.700000000000003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32800"/>
        <c:axId val="169134336"/>
      </c:lineChart>
      <c:catAx>
        <c:axId val="1691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134336"/>
        <c:crosses val="autoZero"/>
        <c:auto val="1"/>
        <c:lblAlgn val="ctr"/>
        <c:lblOffset val="100"/>
        <c:noMultiLvlLbl val="0"/>
      </c:catAx>
      <c:valAx>
        <c:axId val="1691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3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беларусь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курсы!$A$4</c:f>
              <c:strCache>
                <c:ptCount val="1"/>
                <c:pt idx="0">
                  <c:v>к рублю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курсы!$B$4:$M$4</c:f>
              <c:numCache>
                <c:formatCode>General</c:formatCode>
                <c:ptCount val="12"/>
                <c:pt idx="0">
                  <c:v>34.720000000000013</c:v>
                </c:pt>
                <c:pt idx="1">
                  <c:v>48.01</c:v>
                </c:pt>
                <c:pt idx="2">
                  <c:v>53.56</c:v>
                </c:pt>
                <c:pt idx="3">
                  <c:v>67.930000000000007</c:v>
                </c:pt>
                <c:pt idx="4">
                  <c:v>75.819999999999993</c:v>
                </c:pt>
                <c:pt idx="5">
                  <c:v>75.08</c:v>
                </c:pt>
                <c:pt idx="6">
                  <c:v>76.510000000000005</c:v>
                </c:pt>
                <c:pt idx="7">
                  <c:v>83.19</c:v>
                </c:pt>
                <c:pt idx="8">
                  <c:v>87.95</c:v>
                </c:pt>
                <c:pt idx="9">
                  <c:v>90.5</c:v>
                </c:pt>
                <c:pt idx="10">
                  <c:v>94.88</c:v>
                </c:pt>
                <c:pt idx="11">
                  <c:v>25.93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курсы!$A$5</c:f>
              <c:strCache>
                <c:ptCount val="1"/>
                <c:pt idx="0">
                  <c:v>к доллару</c:v>
                </c:pt>
              </c:strCache>
            </c:strRef>
          </c:tx>
          <c:marker>
            <c:symbol val="none"/>
          </c:marker>
          <c:cat>
            <c:numRef>
              <c:f>курсы!$B$2:$M$2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cat>
          <c:val>
            <c:numRef>
              <c:f>курсы!$B$5:$M$5</c:f>
              <c:numCache>
                <c:formatCode>General</c:formatCode>
                <c:ptCount val="12"/>
                <c:pt idx="0">
                  <c:v>934.58</c:v>
                </c:pt>
                <c:pt idx="1">
                  <c:v>1388.8899999999999</c:v>
                </c:pt>
                <c:pt idx="2">
                  <c:v>1639.34</c:v>
                </c:pt>
                <c:pt idx="3">
                  <c:v>2083.3300000000022</c:v>
                </c:pt>
                <c:pt idx="4">
                  <c:v>2173.9100000000012</c:v>
                </c:pt>
                <c:pt idx="5">
                  <c:v>2173.9100000000012</c:v>
                </c:pt>
                <c:pt idx="6">
                  <c:v>2173.9100000000012</c:v>
                </c:pt>
                <c:pt idx="7">
                  <c:v>2127.66</c:v>
                </c:pt>
                <c:pt idx="8">
                  <c:v>2173.9100000000012</c:v>
                </c:pt>
                <c:pt idx="9">
                  <c:v>2857.14</c:v>
                </c:pt>
                <c:pt idx="10">
                  <c:v>2857.14</c:v>
                </c:pt>
                <c:pt idx="11">
                  <c:v>833.32999999999947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55200"/>
        <c:axId val="169161088"/>
      </c:lineChart>
      <c:catAx>
        <c:axId val="1691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161088"/>
        <c:crosses val="autoZero"/>
        <c:auto val="1"/>
        <c:lblAlgn val="ctr"/>
        <c:lblOffset val="100"/>
        <c:noMultiLvlLbl val="0"/>
      </c:catAx>
      <c:valAx>
        <c:axId val="16916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5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1F9B-EAAE-4DFC-A11C-FC1BA4DA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29</cp:revision>
  <dcterms:created xsi:type="dcterms:W3CDTF">2012-03-18T10:15:00Z</dcterms:created>
  <dcterms:modified xsi:type="dcterms:W3CDTF">2012-04-22T20:06:00Z</dcterms:modified>
</cp:coreProperties>
</file>